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66" w:rsidRDefault="001013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01366" w:rsidRDefault="00101366">
      <w:pPr>
        <w:pStyle w:val="ConsPlusNormal"/>
        <w:jc w:val="both"/>
        <w:outlineLvl w:val="0"/>
      </w:pPr>
    </w:p>
    <w:p w:rsidR="00101366" w:rsidRDefault="00101366">
      <w:pPr>
        <w:pStyle w:val="ConsPlusTitle"/>
        <w:jc w:val="center"/>
      </w:pPr>
      <w:r>
        <w:t>МИНИСТЕРСТВО ФИНАНСОВ РОССИЙСКОЙ ФЕДЕРАЦИИ</w:t>
      </w:r>
    </w:p>
    <w:p w:rsidR="00101366" w:rsidRDefault="00101366">
      <w:pPr>
        <w:pStyle w:val="ConsPlusTitle"/>
        <w:jc w:val="center"/>
      </w:pPr>
    </w:p>
    <w:p w:rsidR="00101366" w:rsidRDefault="00101366">
      <w:pPr>
        <w:pStyle w:val="ConsPlusTitle"/>
        <w:jc w:val="center"/>
      </w:pPr>
      <w:r>
        <w:t>ИНФОРМАЦИОННОЕ СООБЩЕНИЕ</w:t>
      </w:r>
    </w:p>
    <w:p w:rsidR="00101366" w:rsidRDefault="00101366">
      <w:pPr>
        <w:pStyle w:val="ConsPlusTitle"/>
        <w:jc w:val="center"/>
      </w:pPr>
      <w:r>
        <w:t>от 9 апреля 2020 г. N ИС-учет-26</w:t>
      </w:r>
    </w:p>
    <w:p w:rsidR="00101366" w:rsidRDefault="00101366">
      <w:pPr>
        <w:pStyle w:val="ConsPlusTitle"/>
        <w:jc w:val="center"/>
      </w:pPr>
    </w:p>
    <w:p w:rsidR="00101366" w:rsidRDefault="00101366">
      <w:pPr>
        <w:pStyle w:val="ConsPlusTitle"/>
        <w:jc w:val="center"/>
      </w:pPr>
      <w:r>
        <w:t>УСТАНОВЛЕНЫ ОСОБЫЕ СРОКИ</w:t>
      </w:r>
    </w:p>
    <w:p w:rsidR="00101366" w:rsidRDefault="00101366">
      <w:pPr>
        <w:pStyle w:val="ConsPlusTitle"/>
        <w:jc w:val="center"/>
      </w:pPr>
      <w:r>
        <w:t>ПРЕДСТАВЛЕНИЯ КОНСОЛИДИРОВАННОЙ ФИНАНСОВОЙ</w:t>
      </w:r>
    </w:p>
    <w:p w:rsidR="00101366" w:rsidRDefault="00101366">
      <w:pPr>
        <w:pStyle w:val="ConsPlusTitle"/>
        <w:jc w:val="center"/>
      </w:pPr>
      <w:r>
        <w:t>ОТЧЕТНОСТИ В 2020 Г.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консолидированной финансовой отчетности" годовая и промежуточная консолидированная финансовая отчетность представляется участникам (акционерам, учредителям) или собственникам имущества организации, а также в ряде случаев Банку России. При этом: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промежуточная консолидированная финансовая отчетность представляется названным адресатам, если такое представление предусмотрено соответственно учредительными документами организации или Банком России;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консолидированная финансовая отчетность представляется Банку России лишь кредитными, страховыми и клиринговыми организациями, негосударственными пенсионными фондами и их управляющими компаниями, управляющими компаниями инвестиционных и паевых инвестиционных фондов.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 xml:space="preserve">Сроки представления консолидированной финансовой отчетности определены </w:t>
      </w:r>
      <w:hyperlink r:id="rId6" w:history="1">
        <w:r>
          <w:rPr>
            <w:color w:val="0000FF"/>
          </w:rPr>
          <w:t>частями 7</w:t>
        </w:r>
      </w:hyperlink>
      <w:r>
        <w:t xml:space="preserve"> и </w:t>
      </w:r>
      <w:hyperlink r:id="rId7" w:history="1">
        <w:r>
          <w:rPr>
            <w:color w:val="0000FF"/>
          </w:rPr>
          <w:t>7.1 статьи 4</w:t>
        </w:r>
      </w:hyperlink>
      <w:r>
        <w:t xml:space="preserve"> Федерального закона "О консолидированной финансовой отчетности".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апреля 2020 г. N 115-ФЗ "О внесении изменений в отдельные законодательные акты Российской Федерации в части унификации содержания годовых отчетов государственных корпораций (компаний), публично-правовых компаний, а также в части установления особенностей регулирования корпоративных отношений в 2020 году и о приостановлении действия положений отдельных законодательных актов Российской Федерации" (далее - Федеральный закон N 115-ФЗ) приостановлено действие </w:t>
      </w:r>
      <w:hyperlink r:id="rId9" w:history="1">
        <w:r>
          <w:rPr>
            <w:color w:val="0000FF"/>
          </w:rPr>
          <w:t>части 7 статьи 4</w:t>
        </w:r>
      </w:hyperlink>
      <w:r>
        <w:t xml:space="preserve"> Федерального закона "О консолидированной финансовой отчетности" на 2020 г. На этот год установлены особые сроки представления консолидированной финансовой отчетности: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годовой консолидированной финансовой отчетности за 2019 г. - не позднее 180 дней после 31 декабря 2019 г. (общий срок - не позднее 120 дней после окончания отчетного года, за который составлена данная отчетность);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промежуточной консолидированной финансовой отчетности за 2020 г. - не позднее 150 дней после окончания отчетного периода, за который составлена данная отчетность (общий срок - не позднее 60 дней после окончания отчетного периода, за который составлена данная отчетность).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 xml:space="preserve">Кроме того,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N 115-ФЗ установлено, что в случае, если последний день срока представления консолидированной финансовой отчетности приходится на день, признаваемый в соответствии с законодательством Российской Федерации выходным или нерабочим праздничным днем, последним днем срока представления консолидированной финансовой отчетности считается первый следующий за ним рабочий день.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Title"/>
        <w:jc w:val="center"/>
        <w:outlineLvl w:val="0"/>
      </w:pPr>
      <w:r>
        <w:t>Установлены особые сроки раскрытия</w:t>
      </w:r>
    </w:p>
    <w:p w:rsidR="00101366" w:rsidRDefault="00101366">
      <w:pPr>
        <w:pStyle w:val="ConsPlusTitle"/>
        <w:jc w:val="center"/>
      </w:pPr>
      <w:r>
        <w:t>консолидированной финансовой отчетности в 2020 г.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ind w:firstLine="540"/>
        <w:jc w:val="both"/>
      </w:pPr>
      <w:r>
        <w:lastRenderedPageBreak/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консолидированной финансовой отчетности" организации раскрывают годовую консолидированную финансовую отчетность, а кредитные организации и определенные иные организации, ценные бумаги которых допущены к организованным торгам путем их включения в котировальные списки, - также промежуточную консолидированную финансовую отчетность.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 xml:space="preserve">Сроки раскрытия консолидированной финансовой отчетности определены </w:t>
      </w:r>
      <w:hyperlink r:id="rId12" w:history="1">
        <w:r>
          <w:rPr>
            <w:color w:val="0000FF"/>
          </w:rPr>
          <w:t>частью 5 статьи 7</w:t>
        </w:r>
      </w:hyperlink>
      <w:r>
        <w:t xml:space="preserve"> Федерального закона "О консолидированной финансовой отчетности".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115-ФЗ приостановлено действие </w:t>
      </w:r>
      <w:hyperlink r:id="rId14" w:history="1">
        <w:r>
          <w:rPr>
            <w:color w:val="0000FF"/>
          </w:rPr>
          <w:t>части 5 статьи 7</w:t>
        </w:r>
      </w:hyperlink>
      <w:r>
        <w:t xml:space="preserve"> Федерального закона "О консолидированной финансовой отчетности" на 2020 г. Раскрытие консолидированной финансовой отчетности в 2020 г. осуществляется организацией не позднее 30 дней со дня истечения срока для ее представления в 2020 г., установленного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115-ФЗ. Следовательно, в 2020 г. консолидированная финансовая отчетность раскрывается: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годовая консолидированная финансовая отчетность за 2019 г. - не позднее 210 дней после 31 декабря 2019 г. (общий срок - не позднее 150 дней после окончания отчетного года, за который составлена данная отчетность);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промежуточная консолидированная финансовая отчетность за 2020 г. - не позднее 180 дней после окончания отчетного периода, за который составлена данная отчетность (общий срок - не позднее 90 дней после окончания отчетного периода, за который составлена данная отчетность).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Title"/>
        <w:jc w:val="center"/>
        <w:outlineLvl w:val="0"/>
      </w:pPr>
      <w:r>
        <w:t>Установлены особые сроки проведения аудита</w:t>
      </w:r>
    </w:p>
    <w:p w:rsidR="00101366" w:rsidRDefault="00101366">
      <w:pPr>
        <w:pStyle w:val="ConsPlusTitle"/>
        <w:jc w:val="center"/>
      </w:pPr>
      <w:r>
        <w:t>консолидированной финансовой отчетности в 2020 г.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консолидированной финансовой отчетности" годовая консолидированная финансовая отчетность подлежит обязательному аудиту. Консолидированная финансовая отчетность определенных видов организаций за первое полугодие отчетного года подлежит аудиту либо проводимой аудиторской организацией проверке, вид и порядок проведения которой устанавливаются стандартами аудиторской деятельности.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 xml:space="preserve">Для эмитентов сроки раскрытия консолидированной финансовой отчетности вместе с аудиторским заключением о такой отчетности определены </w:t>
      </w:r>
      <w:hyperlink r:id="rId17" w:history="1">
        <w:r>
          <w:rPr>
            <w:color w:val="0000FF"/>
          </w:rPr>
          <w:t>пунктом 12 статьи 30</w:t>
        </w:r>
      </w:hyperlink>
      <w:r>
        <w:t xml:space="preserve"> Федерального закона "О рынке ценных бумаг".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115-ФЗ приостановлено действие данного пункта и определены особые сроки раскрытия консолидированной финансовой отчетности вместе с аудиторским заключением о такой отчетности в 2020 г. Исходя из этих сроков, в 2020 г. аудит консолидированной финансовой отчетности должен проводиться в следующие сроки: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годовой консолидированной финансовой отчетности за 2019 г. - не позднее 207 дней после 31 декабря 2019 г. (общий срок - не позднее 117 дней после окончания отчетного года, за который составлена данная отчетность);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промежуточной консолидированной финансовой отчетности за 2020 г. - не позднее 177 дней после даты окончания отчетного периода (общий срок - не позднее 57 дней после окончания отчетного года, за который составлена данная отчетность).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Title"/>
        <w:jc w:val="center"/>
        <w:outlineLvl w:val="0"/>
      </w:pPr>
      <w:r>
        <w:t>Установлены особые сроки утверждения</w:t>
      </w:r>
    </w:p>
    <w:p w:rsidR="00101366" w:rsidRDefault="00101366">
      <w:pPr>
        <w:pStyle w:val="ConsPlusTitle"/>
        <w:jc w:val="center"/>
      </w:pPr>
      <w:r>
        <w:t>годовой бухгалтерской (финансовой) отчетности в 2020 г.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ind w:firstLine="540"/>
        <w:jc w:val="both"/>
      </w:pPr>
      <w:r>
        <w:t>Исходя из Федеральных законов "</w:t>
      </w:r>
      <w:hyperlink r:id="rId19" w:history="1">
        <w:r>
          <w:rPr>
            <w:color w:val="0000FF"/>
          </w:rPr>
          <w:t>Об акционерных</w:t>
        </w:r>
      </w:hyperlink>
      <w:r>
        <w:t xml:space="preserve"> обществах" и "</w:t>
      </w:r>
      <w:hyperlink r:id="rId20" w:history="1">
        <w:r>
          <w:rPr>
            <w:color w:val="0000FF"/>
          </w:rPr>
          <w:t>Об обществах</w:t>
        </w:r>
      </w:hyperlink>
      <w:r>
        <w:t xml:space="preserve"> с ограниченной ответственностью" годовая бухгалтерская (финансовая) отчетность акционерного общества (далее - АО) и общества с ограниченной ответственностью (далее - ООО) утверждается соответственно на годовом общем собрании акционеров или очередном общем собрании </w:t>
      </w:r>
      <w:r>
        <w:lastRenderedPageBreak/>
        <w:t>участников ООО. Названными Федеральными законами установлены сроки проведения общих собраний.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Федеральным законом N 115-ФЗ приостановлено действие положений Федеральных законов "Об акционерных обществах" и "</w:t>
      </w:r>
      <w:hyperlink r:id="rId21" w:history="1">
        <w:r>
          <w:rPr>
            <w:color w:val="0000FF"/>
          </w:rPr>
          <w:t>Об обществах</w:t>
        </w:r>
      </w:hyperlink>
      <w:r>
        <w:t xml:space="preserve"> с ограниченной ответственностью", определяющих сроки проведения годового общего собрания акционеров и очередного общего собрания участников ООО в 2020 г. На этот год установлены особые сроки проведения общих собраний. Следовательно, в 2020 г. годовая бухгалтерская (финансовая) отчетность АО и ООО должна быть утверждена не позднее чем через девять месяцев после окончания отчетного года, т.е. не позднее 30 сентября 2020 г. (общий срок: для годового общего собрания акционеров - не позднее 30 июня года, следующего за отчетным; для очередного общего собрания участников ООО - не позднее 30 апреля года, следующего за отчетным).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Title"/>
        <w:jc w:val="center"/>
        <w:outlineLvl w:val="0"/>
      </w:pPr>
      <w:r>
        <w:t>Перенесен срок формирования советом директоров публичного</w:t>
      </w:r>
    </w:p>
    <w:p w:rsidR="00101366" w:rsidRDefault="00101366">
      <w:pPr>
        <w:pStyle w:val="ConsPlusTitle"/>
        <w:jc w:val="center"/>
      </w:pPr>
      <w:r>
        <w:t>акционерного общества комитета по аудиту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акционерных обществах" (в редакции Федерального закона от 19 июля 2018 г. N 209-ФЗ) в публичном акционерном обществе совет директоров (наблюдательный совет) должен формировать комитет по аудиту &lt;1&gt;. Данная норма должна была вступить в силу 1 июля 2020 г. Однако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115-ФЗ вступление в силу этой нормы отложено на полгода, т.е. до 1 января 2021 г.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01366" w:rsidRDefault="00101366">
      <w:pPr>
        <w:pStyle w:val="ConsPlusNormal"/>
        <w:spacing w:before="220"/>
        <w:ind w:firstLine="540"/>
        <w:jc w:val="both"/>
      </w:pPr>
      <w:r>
        <w:t xml:space="preserve">&lt;1&gt; О формировании комитета по аудиту совета директоров (наблюдательного совета) публичного акционерного общества см. Информационное </w:t>
      </w:r>
      <w:hyperlink r:id="rId24" w:history="1">
        <w:r>
          <w:rPr>
            <w:color w:val="0000FF"/>
          </w:rPr>
          <w:t>сообщение</w:t>
        </w:r>
      </w:hyperlink>
      <w:r>
        <w:t xml:space="preserve"> ИС-аудит-24.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jc w:val="right"/>
      </w:pPr>
      <w:r>
        <w:t>Департамент регулирования</w:t>
      </w:r>
    </w:p>
    <w:p w:rsidR="00101366" w:rsidRDefault="00101366">
      <w:pPr>
        <w:pStyle w:val="ConsPlusNormal"/>
        <w:jc w:val="right"/>
      </w:pPr>
      <w:r>
        <w:t>бухгалтерского учета, финансовой</w:t>
      </w:r>
    </w:p>
    <w:p w:rsidR="00101366" w:rsidRDefault="00101366">
      <w:pPr>
        <w:pStyle w:val="ConsPlusNormal"/>
        <w:jc w:val="right"/>
      </w:pPr>
      <w:r>
        <w:t>отчетности, аудиторской деятельности,</w:t>
      </w:r>
    </w:p>
    <w:p w:rsidR="00101366" w:rsidRDefault="00101366">
      <w:pPr>
        <w:pStyle w:val="ConsPlusNormal"/>
        <w:jc w:val="right"/>
      </w:pPr>
      <w:r>
        <w:t>валютной сферы и негосударственных</w:t>
      </w:r>
    </w:p>
    <w:p w:rsidR="00101366" w:rsidRDefault="00101366">
      <w:pPr>
        <w:pStyle w:val="ConsPlusNormal"/>
        <w:jc w:val="right"/>
      </w:pPr>
      <w:r>
        <w:t>пенсионных фондов Минфина России</w:t>
      </w: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jc w:val="both"/>
      </w:pPr>
    </w:p>
    <w:p w:rsidR="00101366" w:rsidRDefault="001013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F6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66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01366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02E9-724D-46DF-B538-0AC2707F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1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13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5FA4C6C73F0DF25BC4AA32F13ECDC1CA56A69916D4BAD4AC1A3110DC69A950E7175F5CCC6893F92BF77A6CC47BEB40213613845840F94UDrCP" TargetMode="External"/><Relationship Id="rId13" Type="http://schemas.openxmlformats.org/officeDocument/2006/relationships/hyperlink" Target="consultantplus://offline/ref=0C45FA4C6C73F0DF25BC4AA32F13ECDC1CA56A69916D4BAD4AC1A3110DC69A950E7175F5CCC6893F92BF77A6CC47BEB40213613845840F94UDrCP" TargetMode="External"/><Relationship Id="rId18" Type="http://schemas.openxmlformats.org/officeDocument/2006/relationships/hyperlink" Target="consultantplus://offline/ref=0C45FA4C6C73F0DF25BC4AA32F13ECDC1CA56A69916D4BAD4AC1A3110DC69A950E7175F5CCC689389ABF77A6CC47BEB40213613845840F94UDrC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45FA4C6C73F0DF25BC4AA32F13ECDC1CA2656B9E634BAD4AC1A3110DC69A950E7175F5CCC68A3395BF77A6CC47BEB40213613845840F94UDrCP" TargetMode="External"/><Relationship Id="rId7" Type="http://schemas.openxmlformats.org/officeDocument/2006/relationships/hyperlink" Target="consultantplus://offline/ref=0C45FA4C6C73F0DF25BC4AA32F13ECDC1CA2636C9F6B4BAD4AC1A3110DC69A950E7175F5C5CDDC6AD6E12EF78C0CB3B2180F613CU5rBP" TargetMode="External"/><Relationship Id="rId12" Type="http://schemas.openxmlformats.org/officeDocument/2006/relationships/hyperlink" Target="consultantplus://offline/ref=0C45FA4C6C73F0DF25BC4AA32F13ECDC1CA2636C9F6B4BAD4AC1A3110DC69A950E7175F7CECDDC6AD6E12EF78C0CB3B2180F613CU5rBP" TargetMode="External"/><Relationship Id="rId17" Type="http://schemas.openxmlformats.org/officeDocument/2006/relationships/hyperlink" Target="consultantplus://offline/ref=0C45FA4C6C73F0DF25BC4AA32F13ECDC1CA5616D90634BAD4AC1A3110DC69A950E7175F6CAC08A30C6E567A28512B7AA060B7F3C5B84U0rF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45FA4C6C73F0DF25BC4AA32F13ECDC1CA2636C9F6B4BAD4AC1A3110DC69A950E7175F6CECDDC6AD6E12EF78C0CB3B2180F613CU5rBP" TargetMode="External"/><Relationship Id="rId20" Type="http://schemas.openxmlformats.org/officeDocument/2006/relationships/hyperlink" Target="consultantplus://offline/ref=0C45FA4C6C73F0DF25BC4AA32F13ECDC1CA2656B9E634BAD4AC1A3110DC69A951C712DF9CCC2963B94AA21F78AU1r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45FA4C6C73F0DF25BC4AA32F13ECDC1CA2636C9F6B4BAD4AC1A3110DC69A950E7175F5CCC6883C9ABF77A6CC47BEB40213613845840F94UDrCP" TargetMode="External"/><Relationship Id="rId11" Type="http://schemas.openxmlformats.org/officeDocument/2006/relationships/hyperlink" Target="consultantplus://offline/ref=0C45FA4C6C73F0DF25BC4AA32F13ECDC1CA2636C9F6B4BAD4AC1A3110DC69A950E7175F6CBCDDC6AD6E12EF78C0CB3B2180F613CU5rBP" TargetMode="External"/><Relationship Id="rId24" Type="http://schemas.openxmlformats.org/officeDocument/2006/relationships/hyperlink" Target="consultantplus://offline/ref=0C45FA4C6C73F0DF25BC4AA32F13ECDC1CA1676F9D624BAD4AC1A3110DC69A951C712DF9CCC2963B94AA21F78AU1r2P" TargetMode="External"/><Relationship Id="rId5" Type="http://schemas.openxmlformats.org/officeDocument/2006/relationships/hyperlink" Target="consultantplus://offline/ref=0C45FA4C6C73F0DF25BC4AA32F13ECDC1CA2636C9F6B4BAD4AC1A3110DC69A950E7175F5CCC6883991BF77A6CC47BEB40213613845840F94UDrCP" TargetMode="External"/><Relationship Id="rId15" Type="http://schemas.openxmlformats.org/officeDocument/2006/relationships/hyperlink" Target="consultantplus://offline/ref=0C45FA4C6C73F0DF25BC4AA32F13ECDC1CA56A69916D4BAD4AC1A3110DC69A950E7175F5CCC6893E95BF77A6CC47BEB40213613845840F94UDrCP" TargetMode="External"/><Relationship Id="rId23" Type="http://schemas.openxmlformats.org/officeDocument/2006/relationships/hyperlink" Target="consultantplus://offline/ref=0C45FA4C6C73F0DF25BC4AA32F13ECDC1CA56A69916D4BAD4AC1A3110DC69A950E7175F5CCC6893896BF77A6CC47BEB40213613845840F94UDrCP" TargetMode="External"/><Relationship Id="rId10" Type="http://schemas.openxmlformats.org/officeDocument/2006/relationships/hyperlink" Target="consultantplus://offline/ref=0C45FA4C6C73F0DF25BC4AA32F13ECDC1CA56A69916D4BAD4AC1A3110DC69A950E7175F5CCC6893E95BF77A6CC47BEB40213613845840F94UDrCP" TargetMode="External"/><Relationship Id="rId19" Type="http://schemas.openxmlformats.org/officeDocument/2006/relationships/hyperlink" Target="consultantplus://offline/ref=0C45FA4C6C73F0DF25BC4AA32F13ECDC1CA3646B9E684BAD4AC1A3110DC69A951C712DF9CCC2963B94AA21F78AU1r2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45FA4C6C73F0DF25BC4AA32F13ECDC1CA2636C9F6B4BAD4AC1A3110DC69A950E7175F5CCC6883C9ABF77A6CC47BEB40213613845840F94UDrCP" TargetMode="External"/><Relationship Id="rId14" Type="http://schemas.openxmlformats.org/officeDocument/2006/relationships/hyperlink" Target="consultantplus://offline/ref=0C45FA4C6C73F0DF25BC4AA32F13ECDC1CA2636C9F6B4BAD4AC1A3110DC69A950E7175F7CECDDC6AD6E12EF78C0CB3B2180F613CU5rBP" TargetMode="External"/><Relationship Id="rId22" Type="http://schemas.openxmlformats.org/officeDocument/2006/relationships/hyperlink" Target="consultantplus://offline/ref=0C45FA4C6C73F0DF25BC4AA32F13ECDC1CA3646B9E684BAD4AC1A3110DC69A950E7175F5CCC78D3991BF77A6CC47BEB40213613845840F94UDr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2020-06-04T15:43:00Z</dcterms:created>
  <dcterms:modified xsi:type="dcterms:W3CDTF">2020-06-04T15:43:00Z</dcterms:modified>
</cp:coreProperties>
</file>