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DB7" w:rsidRDefault="005A5DB7" w:rsidP="000E1169">
      <w:pPr>
        <w:spacing w:after="0" w:line="240" w:lineRule="auto"/>
        <w:jc w:val="center"/>
        <w:rPr>
          <w:rFonts w:ascii="Times New Roman" w:eastAsia="Calibri" w:hAnsi="Times New Roman" w:cs="Times New Roman"/>
          <w:b/>
          <w:sz w:val="28"/>
          <w:szCs w:val="28"/>
        </w:rPr>
      </w:pPr>
    </w:p>
    <w:p w:rsidR="000E1169" w:rsidRPr="00AF1B21" w:rsidRDefault="000E1169" w:rsidP="000E1169">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РАЗЪЯСНЕНИЕ</w:t>
      </w:r>
    </w:p>
    <w:p w:rsidR="000E1169" w:rsidRPr="00AF1B21" w:rsidRDefault="000E1169" w:rsidP="000E1169">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практики применения </w:t>
      </w:r>
    </w:p>
    <w:p w:rsidR="000E1169" w:rsidRPr="00AF1B21" w:rsidRDefault="000E1169" w:rsidP="000E1169">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законодательства Российской Федерации </w:t>
      </w:r>
    </w:p>
    <w:p w:rsidR="000E1169" w:rsidRPr="00AF1B21" w:rsidRDefault="000E1169" w:rsidP="000E1169">
      <w:pPr>
        <w:spacing w:after="0" w:line="240" w:lineRule="auto"/>
        <w:jc w:val="center"/>
        <w:rPr>
          <w:rFonts w:ascii="Times New Roman" w:eastAsia="Calibri" w:hAnsi="Times New Roman" w:cs="Times New Roman"/>
          <w:b/>
          <w:sz w:val="28"/>
          <w:szCs w:val="28"/>
        </w:rPr>
      </w:pPr>
      <w:r w:rsidRPr="00AF1B21">
        <w:rPr>
          <w:rFonts w:ascii="Times New Roman" w:eastAsia="Calibri" w:hAnsi="Times New Roman" w:cs="Times New Roman"/>
          <w:b/>
          <w:sz w:val="28"/>
          <w:szCs w:val="28"/>
        </w:rPr>
        <w:t xml:space="preserve">и иных нормативных правовых актов, </w:t>
      </w:r>
    </w:p>
    <w:p w:rsidR="000E1169" w:rsidRPr="00AF1B21" w:rsidRDefault="000E1169" w:rsidP="000E1169">
      <w:pPr>
        <w:spacing w:after="0" w:line="240" w:lineRule="auto"/>
        <w:jc w:val="center"/>
        <w:rPr>
          <w:rFonts w:ascii="Times New Roman" w:eastAsia="Calibri" w:hAnsi="Times New Roman" w:cs="Times New Roman"/>
          <w:sz w:val="28"/>
          <w:szCs w:val="28"/>
        </w:rPr>
      </w:pPr>
      <w:r w:rsidRPr="00AF1B21">
        <w:rPr>
          <w:rFonts w:ascii="Times New Roman" w:eastAsia="Calibri" w:hAnsi="Times New Roman" w:cs="Times New Roman"/>
          <w:b/>
          <w:sz w:val="28"/>
          <w:szCs w:val="28"/>
        </w:rPr>
        <w:t>которые регулируют аудиторскую деятельность</w:t>
      </w:r>
      <w:r w:rsidRPr="00AF1B21">
        <w:rPr>
          <w:rFonts w:ascii="Times New Roman" w:eastAsia="Calibri" w:hAnsi="Times New Roman" w:cs="Times New Roman"/>
          <w:sz w:val="28"/>
          <w:szCs w:val="28"/>
        </w:rPr>
        <w:t xml:space="preserve"> </w:t>
      </w:r>
    </w:p>
    <w:p w:rsidR="000E1169" w:rsidRPr="00AF1B21" w:rsidRDefault="000E1169" w:rsidP="000E1169">
      <w:pPr>
        <w:spacing w:after="0" w:line="240" w:lineRule="auto"/>
        <w:jc w:val="center"/>
        <w:rPr>
          <w:rFonts w:ascii="Times New Roman" w:eastAsia="Calibri" w:hAnsi="Times New Roman" w:cs="Times New Roman"/>
          <w:sz w:val="28"/>
          <w:szCs w:val="28"/>
        </w:rPr>
      </w:pPr>
      <w:r w:rsidRPr="00AF1B21">
        <w:rPr>
          <w:rFonts w:ascii="Times New Roman" w:eastAsia="Calibri" w:hAnsi="Times New Roman" w:cs="Times New Roman"/>
          <w:sz w:val="28"/>
          <w:szCs w:val="28"/>
        </w:rPr>
        <w:t>(ППЗ 13 - 2019)</w:t>
      </w:r>
    </w:p>
    <w:p w:rsidR="000E1169" w:rsidRPr="00AF1B21" w:rsidRDefault="000E1169" w:rsidP="000E1169">
      <w:pPr>
        <w:spacing w:after="0" w:line="240" w:lineRule="auto"/>
        <w:jc w:val="center"/>
        <w:rPr>
          <w:rFonts w:ascii="Times New Roman" w:eastAsia="Calibri" w:hAnsi="Times New Roman" w:cs="Times New Roman"/>
          <w:bCs/>
          <w:sz w:val="28"/>
          <w:szCs w:val="28"/>
        </w:rPr>
      </w:pPr>
    </w:p>
    <w:p w:rsidR="000E1169" w:rsidRPr="00AF1B21" w:rsidRDefault="000E1169" w:rsidP="000E1169">
      <w:pPr>
        <w:spacing w:after="0" w:line="240" w:lineRule="auto"/>
        <w:jc w:val="center"/>
        <w:rPr>
          <w:rFonts w:ascii="Times New Roman" w:eastAsia="Calibri" w:hAnsi="Times New Roman" w:cs="Times New Roman"/>
          <w:bCs/>
          <w:sz w:val="28"/>
          <w:szCs w:val="28"/>
        </w:rPr>
      </w:pPr>
      <w:r w:rsidRPr="00AF1B21">
        <w:rPr>
          <w:rFonts w:ascii="Times New Roman" w:eastAsia="Calibri" w:hAnsi="Times New Roman" w:cs="Times New Roman"/>
          <w:bCs/>
          <w:sz w:val="28"/>
          <w:szCs w:val="28"/>
        </w:rPr>
        <w:t xml:space="preserve">«О концепции подготовки </w:t>
      </w:r>
      <w:r w:rsidRPr="00AF1B21">
        <w:rPr>
          <w:rFonts w:ascii="Times New Roman" w:eastAsia="Calibri" w:hAnsi="Times New Roman" w:cs="Times New Roman"/>
          <w:sz w:val="28"/>
          <w:szCs w:val="28"/>
        </w:rPr>
        <w:t xml:space="preserve">годовой </w:t>
      </w:r>
      <w:r w:rsidRPr="00AF1B21">
        <w:rPr>
          <w:rFonts w:ascii="Times New Roman" w:eastAsia="Calibri" w:hAnsi="Times New Roman" w:cs="Times New Roman"/>
          <w:bCs/>
          <w:sz w:val="28"/>
          <w:szCs w:val="28"/>
        </w:rPr>
        <w:t>бухгалтерской (финансовой) отчетности</w:t>
      </w:r>
      <w:r w:rsidRPr="00AF1B21">
        <w:rPr>
          <w:rFonts w:ascii="Times New Roman" w:eastAsia="Calibri" w:hAnsi="Times New Roman" w:cs="Times New Roman"/>
          <w:bCs/>
          <w:sz w:val="28"/>
          <w:szCs w:val="28"/>
          <w:vertAlign w:val="superscript"/>
        </w:rPr>
        <w:footnoteReference w:id="1"/>
      </w:r>
      <w:r w:rsidRPr="00AF1B21">
        <w:rPr>
          <w:rFonts w:ascii="Times New Roman" w:eastAsia="Calibri" w:hAnsi="Times New Roman" w:cs="Times New Roman"/>
          <w:bCs/>
          <w:sz w:val="28"/>
          <w:szCs w:val="28"/>
        </w:rPr>
        <w:t xml:space="preserve"> в соответствии с российскими правилами составления </w:t>
      </w:r>
    </w:p>
    <w:p w:rsidR="000E1169" w:rsidRDefault="000E1169" w:rsidP="000E1169">
      <w:pPr>
        <w:spacing w:after="0" w:line="240" w:lineRule="auto"/>
        <w:jc w:val="center"/>
        <w:rPr>
          <w:rFonts w:ascii="Times New Roman" w:eastAsia="Calibri" w:hAnsi="Times New Roman" w:cs="Times New Roman"/>
          <w:bCs/>
          <w:sz w:val="28"/>
          <w:szCs w:val="28"/>
        </w:rPr>
      </w:pPr>
      <w:r w:rsidRPr="00AF1B21">
        <w:rPr>
          <w:rFonts w:ascii="Times New Roman" w:eastAsia="Calibri" w:hAnsi="Times New Roman" w:cs="Times New Roman"/>
          <w:bCs/>
          <w:sz w:val="28"/>
          <w:szCs w:val="28"/>
        </w:rPr>
        <w:t>бухгалтерской (финансовой) отчетности»</w:t>
      </w:r>
    </w:p>
    <w:p w:rsidR="005A5DB7" w:rsidRDefault="005A5DB7" w:rsidP="000E1169">
      <w:pPr>
        <w:spacing w:after="0" w:line="240" w:lineRule="auto"/>
        <w:jc w:val="center"/>
        <w:rPr>
          <w:rFonts w:ascii="Times New Roman" w:eastAsia="Calibri" w:hAnsi="Times New Roman" w:cs="Times New Roman"/>
          <w:bCs/>
          <w:sz w:val="28"/>
          <w:szCs w:val="28"/>
        </w:rPr>
      </w:pPr>
    </w:p>
    <w:p w:rsidR="005A5DB7" w:rsidRPr="005A5DB7" w:rsidRDefault="005A5DB7" w:rsidP="005A5DB7">
      <w:pPr>
        <w:spacing w:after="0" w:line="240" w:lineRule="auto"/>
        <w:jc w:val="center"/>
        <w:rPr>
          <w:rFonts w:ascii="Times New Roman" w:eastAsia="Calibri" w:hAnsi="Times New Roman" w:cs="Times New Roman"/>
          <w:bCs/>
          <w:sz w:val="28"/>
          <w:szCs w:val="28"/>
        </w:rPr>
      </w:pPr>
      <w:r w:rsidRPr="005A5DB7">
        <w:rPr>
          <w:rFonts w:ascii="Times New Roman" w:eastAsia="Times New Roman" w:hAnsi="Times New Roman" w:cs="Times New Roman"/>
          <w:sz w:val="26"/>
          <w:szCs w:val="20"/>
          <w:lang w:eastAsia="ru-RU"/>
        </w:rPr>
        <w:t>(одобрено Советом по аудиторской деятельности</w:t>
      </w:r>
      <w:r w:rsidRPr="005A5DB7">
        <w:rPr>
          <w:rFonts w:ascii="Times New Roman" w:eastAsia="Times New Roman" w:hAnsi="Times New Roman" w:cs="Times New Roman"/>
          <w:sz w:val="28"/>
          <w:szCs w:val="24"/>
          <w:lang w:eastAsia="ru-RU"/>
        </w:rPr>
        <w:t xml:space="preserve"> </w:t>
      </w:r>
      <w:r w:rsidRPr="005A5DB7">
        <w:rPr>
          <w:rFonts w:ascii="Times New Roman" w:eastAsia="Times New Roman" w:hAnsi="Times New Roman" w:cs="Times New Roman"/>
          <w:sz w:val="26"/>
          <w:szCs w:val="20"/>
          <w:lang w:eastAsia="ru-RU"/>
        </w:rPr>
        <w:t>от 28 марта 2019 г.</w:t>
      </w:r>
      <w:r w:rsidRPr="005A5DB7">
        <w:rPr>
          <w:rFonts w:ascii="Times New Roman" w:eastAsia="Times New Roman" w:hAnsi="Times New Roman" w:cs="Times New Roman"/>
          <w:sz w:val="26"/>
          <w:szCs w:val="20"/>
          <w:lang w:eastAsia="ru-RU"/>
        </w:rPr>
        <w:t xml:space="preserve">, протокол № </w:t>
      </w:r>
      <w:r>
        <w:rPr>
          <w:rFonts w:ascii="Times New Roman" w:eastAsia="Times New Roman" w:hAnsi="Times New Roman" w:cs="Times New Roman"/>
          <w:sz w:val="26"/>
          <w:szCs w:val="20"/>
          <w:lang w:eastAsia="ru-RU"/>
        </w:rPr>
        <w:t>46</w:t>
      </w:r>
      <w:r w:rsidRPr="005A5DB7">
        <w:rPr>
          <w:rFonts w:ascii="Times New Roman" w:eastAsia="Times New Roman" w:hAnsi="Times New Roman" w:cs="Times New Roman"/>
          <w:sz w:val="26"/>
          <w:szCs w:val="20"/>
          <w:lang w:eastAsia="ru-RU"/>
        </w:rPr>
        <w:t>)</w:t>
      </w:r>
      <w:r w:rsidRPr="005A5DB7">
        <w:rPr>
          <w:rFonts w:ascii="Times New Roman" w:eastAsia="Calibri" w:hAnsi="Times New Roman" w:cs="Times New Roman"/>
          <w:bCs/>
          <w:sz w:val="28"/>
          <w:szCs w:val="28"/>
        </w:rPr>
        <w:t xml:space="preserve"> </w:t>
      </w:r>
    </w:p>
    <w:p w:rsidR="005A5DB7" w:rsidRPr="00AF1B21" w:rsidRDefault="005A5DB7" w:rsidP="000E1169">
      <w:pPr>
        <w:spacing w:after="0" w:line="240" w:lineRule="auto"/>
        <w:jc w:val="center"/>
        <w:rPr>
          <w:rFonts w:ascii="Times New Roman" w:eastAsia="Calibri" w:hAnsi="Times New Roman" w:cs="Times New Roman"/>
          <w:bCs/>
          <w:sz w:val="28"/>
          <w:szCs w:val="28"/>
        </w:rPr>
      </w:pPr>
    </w:p>
    <w:p w:rsidR="000E1169" w:rsidRPr="00AF1B21" w:rsidRDefault="000E1169" w:rsidP="000E1169">
      <w:pPr>
        <w:spacing w:after="0" w:line="240" w:lineRule="auto"/>
        <w:ind w:firstLine="720"/>
        <w:jc w:val="both"/>
        <w:rPr>
          <w:rFonts w:ascii="Times New Roman" w:eastAsia="MS Mincho" w:hAnsi="Times New Roman" w:cs="Times New Roman"/>
          <w:kern w:val="8"/>
          <w:sz w:val="28"/>
          <w:szCs w:val="20"/>
          <w:lang w:bidi="he-IL"/>
        </w:rPr>
      </w:pPr>
      <w:r w:rsidRPr="00AF1B21">
        <w:rPr>
          <w:rFonts w:ascii="Times New Roman" w:eastAsia="MS Mincho" w:hAnsi="Times New Roman" w:cs="Times New Roman"/>
          <w:kern w:val="8"/>
          <w:sz w:val="28"/>
          <w:szCs w:val="28"/>
          <w:lang w:bidi="he-IL"/>
        </w:rPr>
        <w:t>1. В соответствии с пунктом 13 Международного стандарта аудита (МСА) 200 «Основные цели независимого аудитора и проведение аудита в соответствии с международными стандартами аудита» п</w:t>
      </w:r>
      <w:r w:rsidRPr="00AF1B21">
        <w:rPr>
          <w:rFonts w:ascii="Times New Roman" w:eastAsia="MS Mincho" w:hAnsi="Times New Roman" w:cs="Times New Roman"/>
          <w:kern w:val="8"/>
          <w:sz w:val="28"/>
          <w:szCs w:val="20"/>
          <w:lang w:bidi="he-IL"/>
        </w:rPr>
        <w:t xml:space="preserve">рименимая концепция подготовки финансовой отчетности – концепция подготовки финансовой отчетности, принятая руководством, а также, если уместно, лицами, отвечающими за корпоративное управление, организации и используемая при подготовке финансовой отчетности. </w:t>
      </w:r>
    </w:p>
    <w:p w:rsidR="000E1169" w:rsidRPr="00AF1B21" w:rsidRDefault="000E1169" w:rsidP="000E1169">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1.1. Термин «концепция достоверного представления» используется для обозначения концепции подготовки финансовой отчетности, которая предусматривает соответствие требованиям этой концепции и:</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2"/>
      <w:bookmarkEnd w:id="0"/>
      <w:r w:rsidRPr="00AF1B21">
        <w:rPr>
          <w:rFonts w:ascii="Times New Roman" w:eastAsia="Calibri" w:hAnsi="Times New Roman" w:cs="Times New Roman"/>
          <w:sz w:val="28"/>
          <w:szCs w:val="28"/>
        </w:rPr>
        <w:t>(</w:t>
      </w:r>
      <w:r w:rsidRPr="00AF1B21">
        <w:rPr>
          <w:rFonts w:ascii="Times New Roman" w:eastAsia="Calibri" w:hAnsi="Times New Roman" w:cs="Times New Roman"/>
          <w:sz w:val="28"/>
          <w:szCs w:val="28"/>
          <w:lang w:val="en-US"/>
        </w:rPr>
        <w:t>i</w:t>
      </w:r>
      <w:r w:rsidRPr="00AF1B21">
        <w:rPr>
          <w:rFonts w:ascii="Times New Roman" w:eastAsia="Calibri" w:hAnsi="Times New Roman" w:cs="Times New Roman"/>
          <w:sz w:val="28"/>
          <w:szCs w:val="28"/>
        </w:rPr>
        <w:t>) признает в явной форме или подразумевает, что обеспечение достоверного представления финансовой отчетности может потребовать от руководства раскрытия информации в большем объеме, чем предусмотрено этой концепцией, или</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3"/>
      <w:bookmarkEnd w:id="1"/>
      <w:r w:rsidRPr="00AF1B21">
        <w:rPr>
          <w:rFonts w:ascii="Times New Roman" w:eastAsia="Calibri" w:hAnsi="Times New Roman" w:cs="Times New Roman"/>
          <w:sz w:val="28"/>
          <w:szCs w:val="28"/>
        </w:rPr>
        <w:t>(</w:t>
      </w:r>
      <w:r w:rsidRPr="00AF1B21">
        <w:rPr>
          <w:rFonts w:ascii="Times New Roman" w:eastAsia="Calibri" w:hAnsi="Times New Roman" w:cs="Times New Roman"/>
          <w:sz w:val="28"/>
          <w:szCs w:val="28"/>
          <w:lang w:val="en-US"/>
        </w:rPr>
        <w:t>ii</w:t>
      </w:r>
      <w:r w:rsidRPr="00AF1B21">
        <w:rPr>
          <w:rFonts w:ascii="Times New Roman" w:eastAsia="Calibri" w:hAnsi="Times New Roman" w:cs="Times New Roman"/>
          <w:sz w:val="28"/>
          <w:szCs w:val="28"/>
        </w:rPr>
        <w:t>) признает в явной форме, что от руководства может потребоваться отступление от требований концепции, чтобы обеспечить достоверное представление финансовой отчетности. Ожидается, что такие отступления могут потребоваться только в исключительно редких обстоятельствах.</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1.2. Термин «концепция соответствия» используется для обозначения концепции подготовки финансовой отчетности, которая предусматривает соответствие требованиям этой концепции, но не содержит утверждений, изложенных в </w:t>
      </w:r>
      <w:hyperlink w:anchor="Par2" w:history="1">
        <w:r w:rsidRPr="00AF1B21">
          <w:rPr>
            <w:rFonts w:ascii="Times New Roman" w:eastAsia="Calibri" w:hAnsi="Times New Roman" w:cs="Times New Roman"/>
            <w:sz w:val="28"/>
            <w:szCs w:val="28"/>
          </w:rPr>
          <w:t>пунктах (</w:t>
        </w:r>
        <w:r w:rsidRPr="00AF1B21">
          <w:rPr>
            <w:rFonts w:ascii="Times New Roman" w:eastAsia="Calibri" w:hAnsi="Times New Roman" w:cs="Times New Roman"/>
            <w:sz w:val="28"/>
            <w:szCs w:val="28"/>
            <w:lang w:val="en-US"/>
          </w:rPr>
          <w:t>i</w:t>
        </w:r>
        <w:r w:rsidRPr="00AF1B21">
          <w:rPr>
            <w:rFonts w:ascii="Times New Roman" w:eastAsia="Calibri" w:hAnsi="Times New Roman" w:cs="Times New Roman"/>
            <w:sz w:val="28"/>
            <w:szCs w:val="28"/>
          </w:rPr>
          <w:t>)</w:t>
        </w:r>
      </w:hyperlink>
      <w:r w:rsidRPr="00AF1B21">
        <w:rPr>
          <w:rFonts w:ascii="Times New Roman" w:eastAsia="Calibri" w:hAnsi="Times New Roman" w:cs="Times New Roman"/>
          <w:sz w:val="28"/>
          <w:szCs w:val="28"/>
        </w:rPr>
        <w:t xml:space="preserve"> или </w:t>
      </w:r>
      <w:hyperlink w:anchor="Par3" w:history="1">
        <w:r w:rsidRPr="00AF1B21">
          <w:rPr>
            <w:rFonts w:ascii="Times New Roman" w:eastAsia="Calibri" w:hAnsi="Times New Roman" w:cs="Times New Roman"/>
            <w:sz w:val="28"/>
            <w:szCs w:val="28"/>
          </w:rPr>
          <w:t>(</w:t>
        </w:r>
        <w:r w:rsidRPr="00AF1B21">
          <w:rPr>
            <w:rFonts w:ascii="Times New Roman" w:eastAsia="Calibri" w:hAnsi="Times New Roman" w:cs="Times New Roman"/>
            <w:sz w:val="28"/>
            <w:szCs w:val="28"/>
            <w:lang w:val="en-US"/>
          </w:rPr>
          <w:t>ii</w:t>
        </w:r>
        <w:r w:rsidRPr="00AF1B21">
          <w:rPr>
            <w:rFonts w:ascii="Times New Roman" w:eastAsia="Calibri" w:hAnsi="Times New Roman" w:cs="Times New Roman"/>
            <w:sz w:val="28"/>
            <w:szCs w:val="28"/>
          </w:rPr>
          <w:t>)</w:t>
        </w:r>
      </w:hyperlink>
      <w:r w:rsidRPr="00AF1B21">
        <w:rPr>
          <w:rFonts w:ascii="Times New Roman" w:eastAsia="Calibri" w:hAnsi="Times New Roman" w:cs="Times New Roman"/>
          <w:sz w:val="28"/>
          <w:szCs w:val="28"/>
        </w:rPr>
        <w:t xml:space="preserve"> пункта 1.1 настоящего Разъяснения.</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 В соответствии с </w:t>
      </w:r>
      <w:hyperlink r:id="rId8" w:history="1">
        <w:r w:rsidRPr="00AF1B21">
          <w:rPr>
            <w:rFonts w:ascii="Times New Roman" w:eastAsia="Calibri" w:hAnsi="Times New Roman" w:cs="Times New Roman"/>
            <w:sz w:val="28"/>
            <w:szCs w:val="28"/>
          </w:rPr>
          <w:t>частью 1 статьи 21</w:t>
        </w:r>
      </w:hyperlink>
      <w:r w:rsidRPr="00AF1B21">
        <w:rPr>
          <w:rFonts w:ascii="Times New Roman" w:eastAsia="Calibri" w:hAnsi="Times New Roman" w:cs="Times New Roman"/>
          <w:sz w:val="28"/>
          <w:szCs w:val="28"/>
        </w:rPr>
        <w:t xml:space="preserve"> Федерального закона «О бухгалтерском учете» к документам в области регулирования бухгалтерского учета относятся: федеральные и </w:t>
      </w:r>
      <w:hyperlink r:id="rId9" w:history="1">
        <w:r w:rsidRPr="00AF1B21">
          <w:rPr>
            <w:rFonts w:ascii="Times New Roman" w:eastAsia="Calibri" w:hAnsi="Times New Roman" w:cs="Times New Roman"/>
            <w:sz w:val="28"/>
            <w:szCs w:val="28"/>
          </w:rPr>
          <w:t>отраслевые стандарты</w:t>
        </w:r>
      </w:hyperlink>
      <w:r w:rsidRPr="00AF1B21">
        <w:rPr>
          <w:rFonts w:ascii="Times New Roman" w:eastAsia="Calibri" w:hAnsi="Times New Roman" w:cs="Times New Roman"/>
          <w:sz w:val="28"/>
          <w:szCs w:val="28"/>
        </w:rPr>
        <w:t xml:space="preserve"> бухгалтерского учета, нормативные акты Банка России, предусмотренные </w:t>
      </w:r>
      <w:hyperlink w:anchor="Par303" w:history="1">
        <w:r w:rsidRPr="00AF1B21">
          <w:rPr>
            <w:rFonts w:ascii="Times New Roman" w:eastAsia="Calibri" w:hAnsi="Times New Roman" w:cs="Times New Roman"/>
            <w:sz w:val="28"/>
            <w:szCs w:val="28"/>
          </w:rPr>
          <w:t>частью 6</w:t>
        </w:r>
      </w:hyperlink>
      <w:r w:rsidRPr="00AF1B21">
        <w:rPr>
          <w:rFonts w:ascii="Times New Roman" w:eastAsia="Calibri" w:hAnsi="Times New Roman" w:cs="Times New Roman"/>
          <w:sz w:val="28"/>
          <w:szCs w:val="28"/>
        </w:rPr>
        <w:t xml:space="preserve"> указанной статьи</w:t>
      </w:r>
      <w:r w:rsidRPr="00AF1B21">
        <w:rPr>
          <w:rFonts w:ascii="Times New Roman" w:eastAsia="Calibri" w:hAnsi="Times New Roman" w:cs="Times New Roman"/>
          <w:sz w:val="28"/>
          <w:szCs w:val="28"/>
          <w:vertAlign w:val="superscript"/>
        </w:rPr>
        <w:footnoteReference w:id="2"/>
      </w:r>
      <w:r w:rsidRPr="00AF1B21">
        <w:rPr>
          <w:rFonts w:ascii="Times New Roman" w:eastAsia="Calibri" w:hAnsi="Times New Roman" w:cs="Times New Roman"/>
          <w:sz w:val="28"/>
          <w:szCs w:val="28"/>
        </w:rPr>
        <w:t xml:space="preserve"> (далее - нормативные акты Банка России), рекомендации в области </w:t>
      </w:r>
      <w:r w:rsidRPr="00AF1B21">
        <w:rPr>
          <w:rFonts w:ascii="Times New Roman" w:eastAsia="Calibri" w:hAnsi="Times New Roman" w:cs="Times New Roman"/>
          <w:sz w:val="28"/>
          <w:szCs w:val="28"/>
        </w:rPr>
        <w:lastRenderedPageBreak/>
        <w:t xml:space="preserve">бухгалтерского учета, стандарты бухгалтерского учета экономического субъекта (организации). </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2.1. В соответствии с частью 1 статьи </w:t>
      </w:r>
      <w:hyperlink r:id="rId10" w:history="1">
        <w:r w:rsidRPr="00AF1B21">
          <w:rPr>
            <w:rFonts w:ascii="Times New Roman" w:eastAsia="Calibri" w:hAnsi="Times New Roman" w:cs="Times New Roman"/>
            <w:sz w:val="28"/>
            <w:szCs w:val="28"/>
          </w:rPr>
          <w:t>30</w:t>
        </w:r>
      </w:hyperlink>
      <w:r w:rsidRPr="00AF1B21">
        <w:rPr>
          <w:rFonts w:ascii="Times New Roman" w:eastAsia="Calibri" w:hAnsi="Times New Roman" w:cs="Times New Roman"/>
          <w:sz w:val="28"/>
          <w:szCs w:val="28"/>
        </w:rPr>
        <w:t xml:space="preserve"> Федерального закона «О бухгалтерском учете» до утверждения органами государственного регулирования бухгалтерского учета федеральных и отраслевых стандартов бухгалтерского учета, предусмотренных данным Федеральным законом,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Банком России до дня вступления в силу указанного Федерального закона. В соответствии с частью 1.1 статьи </w:t>
      </w:r>
      <w:hyperlink r:id="rId11" w:history="1">
        <w:r w:rsidRPr="00AF1B21">
          <w:rPr>
            <w:rFonts w:ascii="Times New Roman" w:eastAsia="Calibri" w:hAnsi="Times New Roman" w:cs="Times New Roman"/>
            <w:sz w:val="28"/>
            <w:szCs w:val="28"/>
          </w:rPr>
          <w:t>30</w:t>
        </w:r>
      </w:hyperlink>
      <w:r w:rsidRPr="00AF1B21">
        <w:rPr>
          <w:rFonts w:ascii="Times New Roman" w:eastAsia="Calibri" w:hAnsi="Times New Roman" w:cs="Times New Roman"/>
          <w:sz w:val="28"/>
          <w:szCs w:val="28"/>
        </w:rPr>
        <w:t xml:space="preserve"> указанного Федерального закона </w:t>
      </w:r>
      <w:hyperlink r:id="rId12" w:history="1">
        <w:r w:rsidRPr="00AF1B21">
          <w:rPr>
            <w:rFonts w:ascii="Times New Roman" w:eastAsia="Calibri" w:hAnsi="Times New Roman" w:cs="Times New Roman"/>
            <w:sz w:val="28"/>
            <w:szCs w:val="28"/>
          </w:rPr>
          <w:t>положения</w:t>
        </w:r>
      </w:hyperlink>
      <w:r w:rsidRPr="00AF1B21">
        <w:rPr>
          <w:rFonts w:ascii="Times New Roman" w:eastAsia="Calibri" w:hAnsi="Times New Roman" w:cs="Times New Roman"/>
          <w:sz w:val="28"/>
          <w:szCs w:val="28"/>
        </w:rPr>
        <w:t xml:space="preserve"> по бухгалтерскому учету (далее - ПБУ), утвержденные Минфином России в период с 1 октября 1998 г. до дня вступления в силу указанного Федерального закона, признаются для целей Федерального закона «О бухгалтерском учете» федеральными стандартами бухгалтерского учета.</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2.2. В соответствии с частью 2 статьи </w:t>
      </w:r>
      <w:hyperlink r:id="rId13" w:history="1">
        <w:r w:rsidRPr="00AF1B21">
          <w:rPr>
            <w:rFonts w:ascii="Times New Roman" w:eastAsia="Calibri" w:hAnsi="Times New Roman" w:cs="Times New Roman"/>
            <w:sz w:val="28"/>
            <w:szCs w:val="28"/>
          </w:rPr>
          <w:t>21</w:t>
        </w:r>
      </w:hyperlink>
      <w:r w:rsidRPr="00AF1B21">
        <w:rPr>
          <w:rFonts w:ascii="Times New Roman" w:eastAsia="Calibri" w:hAnsi="Times New Roman" w:cs="Times New Roman"/>
          <w:sz w:val="28"/>
          <w:szCs w:val="28"/>
        </w:rPr>
        <w:t xml:space="preserve"> Федерального закона «О бухгалтерском учете» федеральные и отраслевые стандарты бухгалтерского учета обязательны к применению, если иное не установлено этими стандартами. </w:t>
      </w:r>
    </w:p>
    <w:p w:rsidR="000E1169" w:rsidRPr="00AF1B21" w:rsidRDefault="000E1169" w:rsidP="000E1169">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Исходя из статьи 57 Федерального закона «О Центральном банке Российской Федерации (Банке России)» правила бухгалтерского учета и отчетности, правила составления и представления бухгалтерской (финансовой) отчетности, установленные Банком России для кредитных организаций, обязательны для этих организаций. Исходя из статьи 76.6 Федерального закона «О Центральном банке Российской Федерации (Банке России)» порядок составления и представления отчетности, установленный Банком России для некредитных финансовых организаций, обязателен для этих организаций. </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2.2.1. В соответствии с пунктом 6 ПБУ 4/99 «Бухгалтерская отчетность организации» достоверной и полной считается бухгалтерская отчетность, сформированная исходя из правил, установленных нормативными актами по бухгалтерскому учету. </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2.3. В контексте МСА 200 требования, указанные в пункте 2.2 настоящего Разъяснения, означают, что совокупность требований к составлению бухгалтерской (финансовой) отчетности экономического субъекта, установленных федеральными и отраслевыми стандартами бухгалтерского учета, а также нормативными актами Банка России (далее вместе – российские правила составления бухгалтерской (финансовой) отчетности), определена законодательством Российской Федерации в качестве концепции подготовки бухгалтерской (финансовой) отчетности.</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 Согласно части 1 статьи 13 Федерального закона «О бухгалтерском учете»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3.1. Согласно пункту 6 ПБУ 4/99 если при составлении бухгалтерской отчетности исходя из правил ПБУ 4/99 организацией выявляется недостаточность </w:t>
      </w:r>
      <w:r w:rsidRPr="00AF1B21">
        <w:rPr>
          <w:rFonts w:ascii="Times New Roman" w:eastAsia="Calibri" w:hAnsi="Times New Roman" w:cs="Times New Roman"/>
          <w:sz w:val="28"/>
          <w:szCs w:val="28"/>
        </w:rPr>
        <w:lastRenderedPageBreak/>
        <w:t>данных для формирования полного представления о финансовом положении организации, финансовых результатах ее деятельности и изменениях в ее финансовом положении, то в бухгалтерскую отчетность организация включает соответствующие дополнительные показатели и пояснения.</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3.2. Согласно пункту 1 Положения Банка России от 27 февраля 2017 года №579-П «О плане счетов бухгалтерского учета для кредитных организаций и порядке его применения» при применении этого Положения кредитные организации руководствуются Международными стандартами финансовой отчетности и Разъяснениями МСФО, принимаемыми Фондом МСФО, введенными в действие на территории Российской Федерации. Согласно пункту 1 Приложения 1 к Указанию Банка России от 6 декабря 2017 года № 4638-У «О формах, порядке и сроках раскрытия кредитными организациями информации о своей деятельности» при формировании пояснительной информации кредитные организации руководствуются данным приложением и требованиями МСФО и Разъяснениями МСФО, принимаемыми Фондом МСФО, введенными в действие на территории Российской Федерации.</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  Согласно пункту 1.5 Положения Банка России от 28 декабря 2015 года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 (далее - Положение № 526-П), пункту 1.5 Положения Банка России от 28 декабря 2015 года № 527-П «Отраслевой стандарт бухгалтерского учета «Порядок составления бухгалтерской (финансовой) отчетности негосударственных пенсионных фондов» (далее - Положение № 527-П), пункту 1.5 Положения Банка России от 3 декабря 2016 года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 (далее - Положение № 532-П) в указанных положениях применяются требования отдельных МСФО, в том числе </w:t>
      </w:r>
      <w:hyperlink r:id="rId14" w:history="1">
        <w:r w:rsidRPr="00AF1B21">
          <w:rPr>
            <w:rFonts w:ascii="Times New Roman" w:eastAsia="Calibri" w:hAnsi="Times New Roman" w:cs="Times New Roman"/>
            <w:sz w:val="28"/>
            <w:szCs w:val="28"/>
          </w:rPr>
          <w:t>МСФО (IAS) 1</w:t>
        </w:r>
      </w:hyperlink>
      <w:r w:rsidRPr="00AF1B21">
        <w:rPr>
          <w:rFonts w:ascii="Times New Roman" w:eastAsia="Calibri" w:hAnsi="Times New Roman" w:cs="Times New Roman"/>
          <w:sz w:val="28"/>
          <w:szCs w:val="28"/>
        </w:rPr>
        <w:t xml:space="preserve"> «Представление финансовой отчетности».  </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Согласно пункту 10.1 Положения № 526-П, пункту 11.1 Положения № 527-П, пункту 9.1 Положения № 532-П, пункту 5.1 Положения Банка России от 25 октября 2017 года № 614-П «О формах раскрытия информации в бухгалтерской (финансовой) отчетности микрофинансовых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и порядке группировки счетов бухгалтерского учета в соответствии с показателями бухгалтерской (финансовой) отчетности»</w:t>
      </w:r>
      <w:r w:rsidRPr="00AF1B21">
        <w:rPr>
          <w:rFonts w:ascii="Times New Roman" w:eastAsia="Calibri" w:hAnsi="Times New Roman" w:cs="Times New Roman"/>
          <w:sz w:val="28"/>
          <w:szCs w:val="28"/>
          <w:vertAlign w:val="superscript"/>
          <w:lang w:val="en-US"/>
        </w:rPr>
        <w:footnoteReference w:id="3"/>
      </w:r>
      <w:r w:rsidRPr="00AF1B21">
        <w:rPr>
          <w:rFonts w:ascii="Times New Roman" w:eastAsia="Calibri" w:hAnsi="Times New Roman" w:cs="Times New Roman"/>
          <w:sz w:val="28"/>
          <w:szCs w:val="28"/>
          <w:vertAlign w:val="superscript"/>
        </w:rPr>
        <w:t xml:space="preserve">  </w:t>
      </w:r>
      <w:r w:rsidRPr="00AF1B21">
        <w:rPr>
          <w:rFonts w:ascii="Times New Roman" w:eastAsia="Calibri" w:hAnsi="Times New Roman" w:cs="Times New Roman"/>
          <w:sz w:val="28"/>
          <w:szCs w:val="28"/>
        </w:rPr>
        <w:t xml:space="preserve">(далее - Положения № </w:t>
      </w:r>
      <w:r w:rsidRPr="00AF1B21">
        <w:rPr>
          <w:rFonts w:ascii="Times New Roman" w:eastAsia="Calibri" w:hAnsi="Times New Roman" w:cs="Times New Roman"/>
          <w:sz w:val="28"/>
          <w:szCs w:val="28"/>
        </w:rPr>
        <w:lastRenderedPageBreak/>
        <w:t>614-П), пункту 4.1 Положения Банка России от 25 октября 2017 года № 613-П «О формах раскрытия информации в бухгалтерской (финансовой) отчетности некредитных финансовых организаций и порядке группировки счетов бухгалтерского учета в соответствии с показателями бухгалтерской (финансовой) отчетности»</w:t>
      </w:r>
      <w:r w:rsidRPr="00AF1B21">
        <w:rPr>
          <w:rFonts w:ascii="Times New Roman" w:eastAsia="Calibri" w:hAnsi="Times New Roman" w:cs="Times New Roman"/>
          <w:sz w:val="28"/>
          <w:szCs w:val="28"/>
          <w:vertAlign w:val="superscript"/>
        </w:rPr>
        <w:footnoteReference w:id="4"/>
      </w:r>
      <w:r w:rsidRPr="00AF1B21">
        <w:rPr>
          <w:rFonts w:ascii="Times New Roman" w:eastAsia="Calibri" w:hAnsi="Times New Roman" w:cs="Times New Roman"/>
          <w:sz w:val="28"/>
          <w:szCs w:val="28"/>
        </w:rPr>
        <w:t xml:space="preserve"> (далее - Положение № 613-П) при применении указанных положений соответствующие некредитные финансовые организации руководствуются МСФО и Разъяснениями МСФО, принимаемыми Фондом МСФО, введенными в действие на территории Российской Федерации.</w:t>
      </w:r>
    </w:p>
    <w:p w:rsidR="000E1169" w:rsidRPr="00AF1B21" w:rsidRDefault="000E1169" w:rsidP="000E11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3.2.1. Согласно пункту 15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1 финансовая отчетность должна достоверно представлять финансовое положение, финансовые результаты и денежные потоки организации. Предполагается, что применение МСФО, вместе с раскрытием дополнительной информации при необходимости, позволяет сформировать финансовую отчетность, обеспечивающую достоверность представления. Согласно пункту 17(с)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1 для обеспечения достоверного представления организация должна раскрывать дополнительную информацию в случаях, когда соблюдение конкретных требований МСФО не является достаточным для того, чтобы пользователи могли понять влияние определенных операций, других событий и условий на финансовое положение и финансовые результаты организации.</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3.3. В контексте МСА 200 приведенные требования ПБУ 4/99 и МСФО (</w:t>
      </w:r>
      <w:r w:rsidRPr="00AF1B21">
        <w:rPr>
          <w:rFonts w:ascii="Times New Roman" w:eastAsia="Calibri" w:hAnsi="Times New Roman" w:cs="Times New Roman"/>
          <w:sz w:val="28"/>
          <w:szCs w:val="28"/>
          <w:lang w:val="en-US"/>
        </w:rPr>
        <w:t>IAS</w:t>
      </w:r>
      <w:r w:rsidRPr="00AF1B21">
        <w:rPr>
          <w:rFonts w:ascii="Times New Roman" w:eastAsia="Calibri" w:hAnsi="Times New Roman" w:cs="Times New Roman"/>
          <w:sz w:val="28"/>
          <w:szCs w:val="28"/>
        </w:rPr>
        <w:t xml:space="preserve">) 1 означают соответственно, что: </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3.3.1) ПБУ признают в явной форме, что обеспечение полного представления о финансовом положении организации, финансовых результатах ее деятельности и изменениях в ее финансовом положении в бухгалтерской отчетности может потребовать от руководства организации раскрытия информации в объеме, большем, чем предусмотрено правилами, установленными ПБУ;</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3.3.2) отраслевые стандарты бухгалтерского учета, утвержденные Банком России, и нормативные акты Банка России подразумевают, что обеспечение достоверного представления годовой бухгалтерской (финансовой) отчетности может потребовать от руководства кредитной или некредитной финансовой организации раскрытия информации в объеме, большем чем предусмотрено этими отраслевыми стандартами и нормативными актами Банка России.</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lastRenderedPageBreak/>
        <w:t>3.4. Согласно пункту 6 ПБУ 4/99 если при составлении бухгалтерской отчетности применение правил ПБУ 4/99 не позволяет сформировать достоверное и полное представление о финансовом положении организации, финансовых результатах ее деятельности и изменениях в ее финансовом положении, то организация в исключительных случаях (например, национализация имущества) может допустить отступление от этих правил.</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В контексте МСА 200 данное требование ПБУ 4/99 означает признание  нормативными актами по бухгалтерскому учету в явной форме того, что в исключительных случаях для обеспечения достоверного представления о финансовом положении организации, финансовых результатах ее деятельности и изменениях в ее финансовом положении может потребоваться отступление от требований правил, установленных нормативными актами по бухгалтерскому учету.</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r w:rsidRPr="00AF1B21">
        <w:rPr>
          <w:rFonts w:ascii="Times New Roman" w:eastAsia="Calibri" w:hAnsi="Times New Roman" w:cs="Times New Roman"/>
          <w:sz w:val="28"/>
          <w:szCs w:val="28"/>
        </w:rPr>
        <w:t xml:space="preserve">4. Таким образом, для целей МСА годовая </w:t>
      </w:r>
      <w:r w:rsidRPr="00AF1B21">
        <w:rPr>
          <w:rFonts w:ascii="Times New Roman" w:eastAsia="Calibri" w:hAnsi="Times New Roman" w:cs="Times New Roman"/>
          <w:bCs/>
          <w:sz w:val="28"/>
          <w:szCs w:val="28"/>
        </w:rPr>
        <w:t xml:space="preserve">бухгалтерская (финансовая) отчетность, составленная в соответствии с российскими правилами составления бухгалтерской (финансовой) отчетности, считается подготовленной в соответствии с </w:t>
      </w:r>
      <w:r w:rsidRPr="00AF1B21">
        <w:rPr>
          <w:rFonts w:ascii="Times New Roman" w:eastAsia="Calibri" w:hAnsi="Times New Roman" w:cs="Times New Roman"/>
          <w:sz w:val="28"/>
          <w:szCs w:val="28"/>
        </w:rPr>
        <w:t>концепций достоверного представления.</w:t>
      </w:r>
    </w:p>
    <w:p w:rsidR="000E1169" w:rsidRPr="00AF1B21" w:rsidRDefault="000E1169" w:rsidP="000E1169">
      <w:pPr>
        <w:spacing w:after="0" w:line="240" w:lineRule="auto"/>
        <w:ind w:firstLine="709"/>
        <w:jc w:val="both"/>
        <w:rPr>
          <w:rFonts w:ascii="Times New Roman" w:eastAsia="Calibri" w:hAnsi="Times New Roman" w:cs="Times New Roman"/>
          <w:sz w:val="28"/>
          <w:szCs w:val="28"/>
        </w:rPr>
      </w:pPr>
      <w:bookmarkStart w:id="2" w:name="_GoBack"/>
      <w:bookmarkEnd w:id="2"/>
    </w:p>
    <w:sectPr w:rsidR="000E1169" w:rsidRPr="00AF1B21" w:rsidSect="00BD37A2">
      <w:headerReference w:type="even" r:id="rId15"/>
      <w:headerReference w:type="default" r:id="rId16"/>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D8C" w:rsidRDefault="00E40D8C" w:rsidP="00260885">
      <w:pPr>
        <w:spacing w:after="0" w:line="240" w:lineRule="auto"/>
      </w:pPr>
      <w:r>
        <w:separator/>
      </w:r>
    </w:p>
  </w:endnote>
  <w:endnote w:type="continuationSeparator" w:id="0">
    <w:p w:rsidR="00E40D8C" w:rsidRDefault="00E40D8C" w:rsidP="00260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D8C" w:rsidRDefault="00E40D8C" w:rsidP="00260885">
      <w:pPr>
        <w:spacing w:after="0" w:line="240" w:lineRule="auto"/>
      </w:pPr>
      <w:r>
        <w:separator/>
      </w:r>
    </w:p>
  </w:footnote>
  <w:footnote w:type="continuationSeparator" w:id="0">
    <w:p w:rsidR="00E40D8C" w:rsidRDefault="00E40D8C" w:rsidP="00260885">
      <w:pPr>
        <w:spacing w:after="0" w:line="240" w:lineRule="auto"/>
      </w:pPr>
      <w:r>
        <w:continuationSeparator/>
      </w:r>
    </w:p>
  </w:footnote>
  <w:footnote w:id="1">
    <w:p w:rsidR="000E1169" w:rsidRPr="005B7176" w:rsidRDefault="000E1169" w:rsidP="000E1169">
      <w:pPr>
        <w:pStyle w:val="ad"/>
        <w:jc w:val="both"/>
        <w:rPr>
          <w:rFonts w:ascii="Times New Roman" w:hAnsi="Times New Roman" w:cs="Times New Roman"/>
        </w:rPr>
      </w:pPr>
      <w:r w:rsidRPr="005B7176">
        <w:rPr>
          <w:rStyle w:val="af"/>
          <w:rFonts w:ascii="Times New Roman" w:hAnsi="Times New Roman" w:cs="Times New Roman"/>
        </w:rPr>
        <w:footnoteRef/>
      </w:r>
      <w:r w:rsidRPr="005B7176">
        <w:rPr>
          <w:rFonts w:ascii="Times New Roman" w:hAnsi="Times New Roman" w:cs="Times New Roman"/>
        </w:rPr>
        <w:t xml:space="preserve"> За исключением годовой бухгалтерской (финансовой) отчетности организаций государственного сектора.</w:t>
      </w:r>
    </w:p>
  </w:footnote>
  <w:footnote w:id="2">
    <w:p w:rsidR="000E1169" w:rsidRPr="005B7176" w:rsidRDefault="000E1169" w:rsidP="000E1169">
      <w:pPr>
        <w:pStyle w:val="ad"/>
        <w:jc w:val="both"/>
        <w:rPr>
          <w:rFonts w:ascii="Times New Roman" w:hAnsi="Times New Roman" w:cs="Times New Roman"/>
        </w:rPr>
      </w:pPr>
      <w:r w:rsidRPr="005B7176">
        <w:rPr>
          <w:rStyle w:val="af"/>
          <w:rFonts w:ascii="Times New Roman" w:hAnsi="Times New Roman" w:cs="Times New Roman"/>
        </w:rPr>
        <w:footnoteRef/>
      </w:r>
      <w:r w:rsidRPr="005B7176">
        <w:rPr>
          <w:rFonts w:ascii="Times New Roman" w:hAnsi="Times New Roman" w:cs="Times New Roman"/>
        </w:rPr>
        <w:t xml:space="preserve"> Планы счетов бухгалтерского учета для кредитных организаций и некредитных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некредитных финансовых организаций, формы раскрытия информации в бухгалтерской (финансовой) отчетности кредитных организаций и некредитных финансовых организаций.</w:t>
      </w:r>
    </w:p>
  </w:footnote>
  <w:footnote w:id="3">
    <w:p w:rsidR="000E1169" w:rsidRPr="005B7176" w:rsidRDefault="000E1169" w:rsidP="000E1169">
      <w:pPr>
        <w:autoSpaceDE w:val="0"/>
        <w:autoSpaceDN w:val="0"/>
        <w:adjustRightInd w:val="0"/>
        <w:jc w:val="both"/>
        <w:rPr>
          <w:rFonts w:ascii="Times New Roman" w:hAnsi="Times New Roman" w:cs="Times New Roman"/>
        </w:rPr>
      </w:pPr>
      <w:r w:rsidRPr="005B7176">
        <w:rPr>
          <w:rStyle w:val="af"/>
          <w:rFonts w:ascii="Times New Roman" w:hAnsi="Times New Roman" w:cs="Times New Roman"/>
        </w:rPr>
        <w:footnoteRef/>
      </w:r>
      <w:r w:rsidRPr="005B7176">
        <w:rPr>
          <w:rFonts w:ascii="Times New Roman" w:hAnsi="Times New Roman" w:cs="Times New Roman"/>
        </w:rPr>
        <w:t xml:space="preserve"> </w:t>
      </w:r>
      <w:r w:rsidRPr="005B7176">
        <w:rPr>
          <w:rFonts w:ascii="Times New Roman" w:hAnsi="Times New Roman" w:cs="Times New Roman"/>
          <w:sz w:val="20"/>
          <w:szCs w:val="20"/>
        </w:rPr>
        <w:t>Положение № 614-П применяется микрофинансовыми организациями, начиная с составления бухгалтерской (финансовой) отчетности за первый квартал 2018 г., а по состоянию на 31 марта 2018 г., кредитными потребительскими кооперативами, сельскохозяйственными кредитными потребительскими кооперативами, жилищными накопительными кооперативами, ломбардами, начиная с составления бухгалтерской (финансовой) отчетности за первый квартал 2022 г. по состоянию на 31 марта 2022 г. До установленных дат указанные некредитные финансовые организации при составлении бухгалтерской (финансовой) отчетности применяют ПБУ.</w:t>
      </w:r>
    </w:p>
  </w:footnote>
  <w:footnote w:id="4">
    <w:p w:rsidR="000E1169" w:rsidRPr="005B7176" w:rsidRDefault="000E1169" w:rsidP="000E1169">
      <w:pPr>
        <w:autoSpaceDE w:val="0"/>
        <w:autoSpaceDN w:val="0"/>
        <w:adjustRightInd w:val="0"/>
        <w:jc w:val="both"/>
        <w:rPr>
          <w:rFonts w:ascii="Times New Roman" w:hAnsi="Times New Roman" w:cs="Times New Roman"/>
        </w:rPr>
      </w:pPr>
      <w:r w:rsidRPr="005B7176">
        <w:rPr>
          <w:rStyle w:val="af"/>
          <w:rFonts w:ascii="Times New Roman" w:hAnsi="Times New Roman" w:cs="Times New Roman"/>
        </w:rPr>
        <w:footnoteRef/>
      </w:r>
      <w:r w:rsidRPr="005B7176">
        <w:rPr>
          <w:rFonts w:ascii="Times New Roman" w:hAnsi="Times New Roman" w:cs="Times New Roman"/>
        </w:rPr>
        <w:t xml:space="preserve"> </w:t>
      </w:r>
      <w:r w:rsidRPr="005B7176">
        <w:rPr>
          <w:rFonts w:ascii="Times New Roman" w:hAnsi="Times New Roman" w:cs="Times New Roman"/>
          <w:sz w:val="20"/>
          <w:szCs w:val="20"/>
        </w:rPr>
        <w:t>Положение № 613-П применяется микрокредитными компаниями, страховыми брокерами, кредитными рейтинговыми агентствами, бюро кредитных историй начиная с составления бухгалтерской (финансовой) отчетности за 2018 г., кредитными потребительскими кооперативами, сельскохозяйственными кредитными потребительскими кооперативами, ломбардами начиная с составления бухгалтерской (финансовой) отчетности за 2022 г. Данное Положение распространяется на указанные некредитные финансовые организации, если они не обязаны публиковать свою бухгалтерскую (финансовую) отчетность, их акции или долговые ценные бумаги не обращаются на открытом рынке и если они не находятся в процессе выпуска таких ценных бумаг для торговли на открытом рынке (национальная или иностранная фондовая биржа или внебиржевой рынок, допускающий обращение ценных бумаг среди неограниченного круга лиц). До установленных дат указанные некредитные финансовые организации при составлении бухгалтерской (финансовой) отчетности применяют ПБУ.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240" w:rsidRDefault="00C82240" w:rsidP="00C8224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82240" w:rsidRDefault="00C8224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037045"/>
      <w:docPartObj>
        <w:docPartGallery w:val="Page Numbers (Top of Page)"/>
        <w:docPartUnique/>
      </w:docPartObj>
    </w:sdtPr>
    <w:sdtEndPr/>
    <w:sdtContent>
      <w:p w:rsidR="00C82240" w:rsidRDefault="00C82240">
        <w:pPr>
          <w:pStyle w:val="a4"/>
          <w:jc w:val="center"/>
        </w:pPr>
        <w:r>
          <w:fldChar w:fldCharType="begin"/>
        </w:r>
        <w:r>
          <w:instrText>PAGE   \* MERGEFORMAT</w:instrText>
        </w:r>
        <w:r>
          <w:fldChar w:fldCharType="separate"/>
        </w:r>
        <w:r w:rsidR="005A5DB7">
          <w:rPr>
            <w:noProof/>
          </w:rPr>
          <w:t>2</w:t>
        </w:r>
        <w:r>
          <w:fldChar w:fldCharType="end"/>
        </w:r>
      </w:p>
    </w:sdtContent>
  </w:sdt>
  <w:p w:rsidR="00C82240" w:rsidRDefault="00C8224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upperRoman"/>
      <w:lvlText w:val="%1."/>
      <w:lvlJc w:val="left"/>
      <w:rPr>
        <w:b w:val="0"/>
        <w:bCs w:val="0"/>
        <w:i w:val="0"/>
        <w:iCs w:val="0"/>
        <w:smallCaps w:val="0"/>
        <w:strike w:val="0"/>
        <w:color w:val="000000"/>
        <w:spacing w:val="0"/>
        <w:w w:val="100"/>
        <w:position w:val="0"/>
        <w:sz w:val="26"/>
        <w:szCs w:val="26"/>
        <w:u w:val="none"/>
      </w:rPr>
    </w:lvl>
    <w:lvl w:ilvl="1">
      <w:start w:val="1"/>
      <w:numFmt w:val="upperRoman"/>
      <w:lvlText w:val="%1."/>
      <w:lvlJc w:val="left"/>
      <w:rPr>
        <w:b w:val="0"/>
        <w:bCs w:val="0"/>
        <w:i w:val="0"/>
        <w:iCs w:val="0"/>
        <w:smallCaps w:val="0"/>
        <w:strike w:val="0"/>
        <w:color w:val="000000"/>
        <w:spacing w:val="0"/>
        <w:w w:val="100"/>
        <w:position w:val="0"/>
        <w:sz w:val="26"/>
        <w:szCs w:val="26"/>
        <w:u w:val="none"/>
      </w:rPr>
    </w:lvl>
    <w:lvl w:ilvl="2">
      <w:start w:val="1"/>
      <w:numFmt w:val="upperRoman"/>
      <w:lvlText w:val="%1."/>
      <w:lvlJc w:val="left"/>
      <w:rPr>
        <w:b w:val="0"/>
        <w:bCs w:val="0"/>
        <w:i w:val="0"/>
        <w:iCs w:val="0"/>
        <w:smallCaps w:val="0"/>
        <w:strike w:val="0"/>
        <w:color w:val="000000"/>
        <w:spacing w:val="0"/>
        <w:w w:val="100"/>
        <w:position w:val="0"/>
        <w:sz w:val="26"/>
        <w:szCs w:val="26"/>
        <w:u w:val="none"/>
      </w:rPr>
    </w:lvl>
    <w:lvl w:ilvl="3">
      <w:start w:val="1"/>
      <w:numFmt w:val="upperRoman"/>
      <w:lvlText w:val="%1."/>
      <w:lvlJc w:val="left"/>
      <w:rPr>
        <w:b w:val="0"/>
        <w:bCs w:val="0"/>
        <w:i w:val="0"/>
        <w:iCs w:val="0"/>
        <w:smallCaps w:val="0"/>
        <w:strike w:val="0"/>
        <w:color w:val="000000"/>
        <w:spacing w:val="0"/>
        <w:w w:val="100"/>
        <w:position w:val="0"/>
        <w:sz w:val="26"/>
        <w:szCs w:val="26"/>
        <w:u w:val="none"/>
      </w:rPr>
    </w:lvl>
    <w:lvl w:ilvl="4">
      <w:start w:val="1"/>
      <w:numFmt w:val="upperRoman"/>
      <w:lvlText w:val="%1."/>
      <w:lvlJc w:val="left"/>
      <w:rPr>
        <w:b w:val="0"/>
        <w:bCs w:val="0"/>
        <w:i w:val="0"/>
        <w:iCs w:val="0"/>
        <w:smallCaps w:val="0"/>
        <w:strike w:val="0"/>
        <w:color w:val="000000"/>
        <w:spacing w:val="0"/>
        <w:w w:val="100"/>
        <w:position w:val="0"/>
        <w:sz w:val="26"/>
        <w:szCs w:val="26"/>
        <w:u w:val="none"/>
      </w:rPr>
    </w:lvl>
    <w:lvl w:ilvl="5">
      <w:start w:val="1"/>
      <w:numFmt w:val="upperRoman"/>
      <w:lvlText w:val="%1."/>
      <w:lvlJc w:val="left"/>
      <w:rPr>
        <w:b w:val="0"/>
        <w:bCs w:val="0"/>
        <w:i w:val="0"/>
        <w:iCs w:val="0"/>
        <w:smallCaps w:val="0"/>
        <w:strike w:val="0"/>
        <w:color w:val="000000"/>
        <w:spacing w:val="0"/>
        <w:w w:val="100"/>
        <w:position w:val="0"/>
        <w:sz w:val="26"/>
        <w:szCs w:val="26"/>
        <w:u w:val="none"/>
      </w:rPr>
    </w:lvl>
    <w:lvl w:ilvl="6">
      <w:start w:val="1"/>
      <w:numFmt w:val="upperRoman"/>
      <w:lvlText w:val="%1."/>
      <w:lvlJc w:val="left"/>
      <w:rPr>
        <w:b w:val="0"/>
        <w:bCs w:val="0"/>
        <w:i w:val="0"/>
        <w:iCs w:val="0"/>
        <w:smallCaps w:val="0"/>
        <w:strike w:val="0"/>
        <w:color w:val="000000"/>
        <w:spacing w:val="0"/>
        <w:w w:val="100"/>
        <w:position w:val="0"/>
        <w:sz w:val="26"/>
        <w:szCs w:val="26"/>
        <w:u w:val="none"/>
      </w:rPr>
    </w:lvl>
    <w:lvl w:ilvl="7">
      <w:start w:val="1"/>
      <w:numFmt w:val="upperRoman"/>
      <w:lvlText w:val="%1."/>
      <w:lvlJc w:val="left"/>
      <w:rPr>
        <w:b w:val="0"/>
        <w:bCs w:val="0"/>
        <w:i w:val="0"/>
        <w:iCs w:val="0"/>
        <w:smallCaps w:val="0"/>
        <w:strike w:val="0"/>
        <w:color w:val="000000"/>
        <w:spacing w:val="0"/>
        <w:w w:val="100"/>
        <w:position w:val="0"/>
        <w:sz w:val="26"/>
        <w:szCs w:val="26"/>
        <w:u w:val="none"/>
      </w:rPr>
    </w:lvl>
    <w:lvl w:ilvl="8">
      <w:start w:val="1"/>
      <w:numFmt w:val="upperRoman"/>
      <w:lvlText w:val="%1."/>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numFmt w:val="decimal"/>
      <w:lvlText w:val="%1"/>
      <w:lvlJc w:val="left"/>
      <w:rPr>
        <w:b w:val="0"/>
        <w:bCs w:val="0"/>
        <w:i/>
        <w:iCs/>
        <w:smallCaps w:val="0"/>
        <w:strike w:val="0"/>
        <w:color w:val="000000"/>
        <w:spacing w:val="0"/>
        <w:w w:val="100"/>
        <w:position w:val="0"/>
        <w:sz w:val="15"/>
        <w:szCs w:val="15"/>
        <w:u w:val="none"/>
      </w:rPr>
    </w:lvl>
    <w:lvl w:ilvl="1">
      <w:numFmt w:val="decimal"/>
      <w:lvlText w:val="%1"/>
      <w:lvlJc w:val="left"/>
      <w:rPr>
        <w:b w:val="0"/>
        <w:bCs w:val="0"/>
        <w:i/>
        <w:iCs/>
        <w:smallCaps w:val="0"/>
        <w:strike w:val="0"/>
        <w:color w:val="000000"/>
        <w:spacing w:val="0"/>
        <w:w w:val="100"/>
        <w:position w:val="0"/>
        <w:sz w:val="15"/>
        <w:szCs w:val="15"/>
        <w:u w:val="none"/>
      </w:rPr>
    </w:lvl>
    <w:lvl w:ilvl="2">
      <w:numFmt w:val="decimal"/>
      <w:lvlText w:val="%1"/>
      <w:lvlJc w:val="left"/>
      <w:rPr>
        <w:b w:val="0"/>
        <w:bCs w:val="0"/>
        <w:i/>
        <w:iCs/>
        <w:smallCaps w:val="0"/>
        <w:strike w:val="0"/>
        <w:color w:val="000000"/>
        <w:spacing w:val="0"/>
        <w:w w:val="100"/>
        <w:position w:val="0"/>
        <w:sz w:val="15"/>
        <w:szCs w:val="15"/>
        <w:u w:val="none"/>
      </w:rPr>
    </w:lvl>
    <w:lvl w:ilvl="3">
      <w:numFmt w:val="decimal"/>
      <w:lvlText w:val="%1"/>
      <w:lvlJc w:val="left"/>
      <w:rPr>
        <w:b w:val="0"/>
        <w:bCs w:val="0"/>
        <w:i/>
        <w:iCs/>
        <w:smallCaps w:val="0"/>
        <w:strike w:val="0"/>
        <w:color w:val="000000"/>
        <w:spacing w:val="0"/>
        <w:w w:val="100"/>
        <w:position w:val="0"/>
        <w:sz w:val="15"/>
        <w:szCs w:val="15"/>
        <w:u w:val="none"/>
      </w:rPr>
    </w:lvl>
    <w:lvl w:ilvl="4">
      <w:numFmt w:val="decimal"/>
      <w:lvlText w:val="%1"/>
      <w:lvlJc w:val="left"/>
      <w:rPr>
        <w:b w:val="0"/>
        <w:bCs w:val="0"/>
        <w:i/>
        <w:iCs/>
        <w:smallCaps w:val="0"/>
        <w:strike w:val="0"/>
        <w:color w:val="000000"/>
        <w:spacing w:val="0"/>
        <w:w w:val="100"/>
        <w:position w:val="0"/>
        <w:sz w:val="15"/>
        <w:szCs w:val="15"/>
        <w:u w:val="none"/>
      </w:rPr>
    </w:lvl>
    <w:lvl w:ilvl="5">
      <w:numFmt w:val="decimal"/>
      <w:lvlText w:val="%1"/>
      <w:lvlJc w:val="left"/>
      <w:rPr>
        <w:b w:val="0"/>
        <w:bCs w:val="0"/>
        <w:i/>
        <w:iCs/>
        <w:smallCaps w:val="0"/>
        <w:strike w:val="0"/>
        <w:color w:val="000000"/>
        <w:spacing w:val="0"/>
        <w:w w:val="100"/>
        <w:position w:val="0"/>
        <w:sz w:val="15"/>
        <w:szCs w:val="15"/>
        <w:u w:val="none"/>
      </w:rPr>
    </w:lvl>
    <w:lvl w:ilvl="6">
      <w:numFmt w:val="decimal"/>
      <w:lvlText w:val="%1"/>
      <w:lvlJc w:val="left"/>
      <w:rPr>
        <w:b w:val="0"/>
        <w:bCs w:val="0"/>
        <w:i/>
        <w:iCs/>
        <w:smallCaps w:val="0"/>
        <w:strike w:val="0"/>
        <w:color w:val="000000"/>
        <w:spacing w:val="0"/>
        <w:w w:val="100"/>
        <w:position w:val="0"/>
        <w:sz w:val="15"/>
        <w:szCs w:val="15"/>
        <w:u w:val="none"/>
      </w:rPr>
    </w:lvl>
    <w:lvl w:ilvl="7">
      <w:numFmt w:val="decimal"/>
      <w:lvlText w:val="%1"/>
      <w:lvlJc w:val="left"/>
      <w:rPr>
        <w:b w:val="0"/>
        <w:bCs w:val="0"/>
        <w:i/>
        <w:iCs/>
        <w:smallCaps w:val="0"/>
        <w:strike w:val="0"/>
        <w:color w:val="000000"/>
        <w:spacing w:val="0"/>
        <w:w w:val="100"/>
        <w:position w:val="0"/>
        <w:sz w:val="15"/>
        <w:szCs w:val="15"/>
        <w:u w:val="none"/>
      </w:rPr>
    </w:lvl>
    <w:lvl w:ilvl="8">
      <w:numFmt w:val="decimal"/>
      <w:lvlText w:val="%1"/>
      <w:lvlJc w:val="left"/>
      <w:rPr>
        <w:b w:val="0"/>
        <w:bCs w:val="0"/>
        <w:i/>
        <w:iCs/>
        <w:smallCaps w:val="0"/>
        <w:strike w:val="0"/>
        <w:color w:val="000000"/>
        <w:spacing w:val="0"/>
        <w:w w:val="100"/>
        <w:position w:val="0"/>
        <w:sz w:val="15"/>
        <w:szCs w:val="15"/>
        <w:u w:val="none"/>
      </w:rPr>
    </w:lvl>
  </w:abstractNum>
  <w:abstractNum w:abstractNumId="4">
    <w:nsid w:val="0092000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9B22E62"/>
    <w:multiLevelType w:val="hybridMultilevel"/>
    <w:tmpl w:val="05C0EEE0"/>
    <w:lvl w:ilvl="0" w:tplc="0BD4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676561"/>
    <w:multiLevelType w:val="hybridMultilevel"/>
    <w:tmpl w:val="237CA1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0E0631C9"/>
    <w:multiLevelType w:val="hybridMultilevel"/>
    <w:tmpl w:val="5FD86046"/>
    <w:lvl w:ilvl="0" w:tplc="E54C33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1B03488"/>
    <w:multiLevelType w:val="hybridMultilevel"/>
    <w:tmpl w:val="23BE9AFA"/>
    <w:lvl w:ilvl="0" w:tplc="97004644">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45F2F64"/>
    <w:multiLevelType w:val="hybridMultilevel"/>
    <w:tmpl w:val="24D8F93C"/>
    <w:lvl w:ilvl="0" w:tplc="1D161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6DA6169"/>
    <w:multiLevelType w:val="hybridMultilevel"/>
    <w:tmpl w:val="04EC4F3C"/>
    <w:lvl w:ilvl="0" w:tplc="4736619A">
      <w:start w:val="1"/>
      <w:numFmt w:val="decimal"/>
      <w:lvlText w:val="%1."/>
      <w:lvlJc w:val="left"/>
      <w:pPr>
        <w:ind w:left="1288" w:hanging="72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79A19BF"/>
    <w:multiLevelType w:val="hybridMultilevel"/>
    <w:tmpl w:val="C46011DC"/>
    <w:lvl w:ilvl="0" w:tplc="1DB88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198C36A2"/>
    <w:multiLevelType w:val="hybridMultilevel"/>
    <w:tmpl w:val="AF90BF0E"/>
    <w:lvl w:ilvl="0" w:tplc="381E6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1EE27C9A"/>
    <w:multiLevelType w:val="hybridMultilevel"/>
    <w:tmpl w:val="58785300"/>
    <w:lvl w:ilvl="0" w:tplc="371483A2">
      <w:start w:val="3"/>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5">
    <w:nsid w:val="24C849CE"/>
    <w:multiLevelType w:val="hybridMultilevel"/>
    <w:tmpl w:val="0202603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6">
    <w:nsid w:val="275F1C0E"/>
    <w:multiLevelType w:val="hybridMultilevel"/>
    <w:tmpl w:val="4FAE53EE"/>
    <w:lvl w:ilvl="0" w:tplc="FD6834A6">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457F53"/>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9CF2AED"/>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4D3148"/>
    <w:multiLevelType w:val="hybridMultilevel"/>
    <w:tmpl w:val="E2D82D6A"/>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DF62EE"/>
    <w:multiLevelType w:val="hybridMultilevel"/>
    <w:tmpl w:val="7D6ABD48"/>
    <w:lvl w:ilvl="0" w:tplc="55D4375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F174995"/>
    <w:multiLevelType w:val="hybridMultilevel"/>
    <w:tmpl w:val="E0D4B4EA"/>
    <w:lvl w:ilvl="0" w:tplc="F79235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F9B0A8B"/>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30591304"/>
    <w:multiLevelType w:val="hybridMultilevel"/>
    <w:tmpl w:val="DF8CC3A0"/>
    <w:lvl w:ilvl="0" w:tplc="CAB2C7C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37B3738"/>
    <w:multiLevelType w:val="hybridMultilevel"/>
    <w:tmpl w:val="372C0950"/>
    <w:lvl w:ilvl="0" w:tplc="820ED73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B9F0BF8"/>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181DF3"/>
    <w:multiLevelType w:val="hybridMultilevel"/>
    <w:tmpl w:val="9F949930"/>
    <w:lvl w:ilvl="0" w:tplc="FDB6F938">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3D157D4A"/>
    <w:multiLevelType w:val="hybridMultilevel"/>
    <w:tmpl w:val="7EB69084"/>
    <w:lvl w:ilvl="0" w:tplc="D6D8B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40F946F4"/>
    <w:multiLevelType w:val="hybridMultilevel"/>
    <w:tmpl w:val="382EAEA0"/>
    <w:lvl w:ilvl="0" w:tplc="C4240BF0">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0">
    <w:nsid w:val="43236A3C"/>
    <w:multiLevelType w:val="hybridMultilevel"/>
    <w:tmpl w:val="890AEBB0"/>
    <w:lvl w:ilvl="0" w:tplc="5016B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443E34DA"/>
    <w:multiLevelType w:val="hybridMultilevel"/>
    <w:tmpl w:val="DCE016C4"/>
    <w:lvl w:ilvl="0" w:tplc="76F89E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49C54FD4"/>
    <w:multiLevelType w:val="hybridMultilevel"/>
    <w:tmpl w:val="A4467F54"/>
    <w:lvl w:ilvl="0" w:tplc="E8965F6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2979A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FA3C4A"/>
    <w:multiLevelType w:val="hybridMultilevel"/>
    <w:tmpl w:val="7D6AAEBC"/>
    <w:lvl w:ilvl="0" w:tplc="9A72B1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5E482A8B"/>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8767BA"/>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325C3D"/>
    <w:multiLevelType w:val="hybridMultilevel"/>
    <w:tmpl w:val="B03C62E0"/>
    <w:lvl w:ilvl="0" w:tplc="833E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95704D3"/>
    <w:multiLevelType w:val="hybridMultilevel"/>
    <w:tmpl w:val="2A988B2C"/>
    <w:lvl w:ilvl="0" w:tplc="A386F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6C456E13"/>
    <w:multiLevelType w:val="hybridMultilevel"/>
    <w:tmpl w:val="622A744C"/>
    <w:lvl w:ilvl="0" w:tplc="F6F47072">
      <w:start w:val="1"/>
      <w:numFmt w:val="decimal"/>
      <w:lvlText w:val="%1."/>
      <w:lvlJc w:val="left"/>
      <w:pPr>
        <w:ind w:left="1188" w:hanging="360"/>
      </w:pPr>
      <w:rPr>
        <w:rFonts w:ascii="Times New Roman" w:hAnsi="Times New Roman" w:hint="default"/>
        <w:sz w:val="28"/>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40">
    <w:nsid w:val="6DD71588"/>
    <w:multiLevelType w:val="hybridMultilevel"/>
    <w:tmpl w:val="46E42D66"/>
    <w:lvl w:ilvl="0" w:tplc="4F7254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6EAE4FB5"/>
    <w:multiLevelType w:val="hybridMultilevel"/>
    <w:tmpl w:val="F1087A7E"/>
    <w:lvl w:ilvl="0" w:tplc="BF522FA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0664B1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C94875"/>
    <w:multiLevelType w:val="hybridMultilevel"/>
    <w:tmpl w:val="318C269C"/>
    <w:lvl w:ilvl="0" w:tplc="0FDCD530">
      <w:start w:val="4"/>
      <w:numFmt w:val="decimal"/>
      <w:lvlText w:val="%1"/>
      <w:lvlJc w:val="left"/>
      <w:pPr>
        <w:ind w:left="1353" w:hanging="360"/>
      </w:pPr>
      <w:rPr>
        <w:rFonts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48D2806"/>
    <w:multiLevelType w:val="hybridMultilevel"/>
    <w:tmpl w:val="93D60FDC"/>
    <w:lvl w:ilvl="0" w:tplc="C7E8A8FE">
      <w:start w:val="1"/>
      <w:numFmt w:val="decimal"/>
      <w:lvlText w:val="%1."/>
      <w:lvlJc w:val="left"/>
      <w:pPr>
        <w:ind w:left="689"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4DFC"/>
    <w:multiLevelType w:val="hybridMultilevel"/>
    <w:tmpl w:val="88BC34F2"/>
    <w:lvl w:ilvl="0" w:tplc="C81454A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F373BC2"/>
    <w:multiLevelType w:val="hybridMultilevel"/>
    <w:tmpl w:val="8A06A9E8"/>
    <w:lvl w:ilvl="0" w:tplc="D9F893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7"/>
  </w:num>
  <w:num w:numId="7">
    <w:abstractNumId w:val="30"/>
  </w:num>
  <w:num w:numId="8">
    <w:abstractNumId w:val="22"/>
  </w:num>
  <w:num w:numId="9">
    <w:abstractNumId w:val="27"/>
  </w:num>
  <w:num w:numId="10">
    <w:abstractNumId w:val="32"/>
  </w:num>
  <w:num w:numId="11">
    <w:abstractNumId w:val="41"/>
  </w:num>
  <w:num w:numId="12">
    <w:abstractNumId w:val="5"/>
  </w:num>
  <w:num w:numId="13">
    <w:abstractNumId w:val="8"/>
  </w:num>
  <w:num w:numId="14">
    <w:abstractNumId w:val="29"/>
  </w:num>
  <w:num w:numId="15">
    <w:abstractNumId w:val="46"/>
  </w:num>
  <w:num w:numId="16">
    <w:abstractNumId w:val="12"/>
  </w:num>
  <w:num w:numId="17">
    <w:abstractNumId w:val="34"/>
  </w:num>
  <w:num w:numId="18">
    <w:abstractNumId w:val="9"/>
  </w:num>
  <w:num w:numId="19">
    <w:abstractNumId w:val="16"/>
  </w:num>
  <w:num w:numId="20">
    <w:abstractNumId w:val="38"/>
  </w:num>
  <w:num w:numId="21">
    <w:abstractNumId w:val="31"/>
  </w:num>
  <w:num w:numId="22">
    <w:abstractNumId w:val="37"/>
  </w:num>
  <w:num w:numId="23">
    <w:abstractNumId w:val="13"/>
  </w:num>
  <w:num w:numId="24">
    <w:abstractNumId w:val="39"/>
  </w:num>
  <w:num w:numId="25">
    <w:abstractNumId w:val="11"/>
  </w:num>
  <w:num w:numId="26">
    <w:abstractNumId w:val="44"/>
  </w:num>
  <w:num w:numId="27">
    <w:abstractNumId w:val="20"/>
  </w:num>
  <w:num w:numId="28">
    <w:abstractNumId w:val="0"/>
  </w:num>
  <w:num w:numId="29">
    <w:abstractNumId w:val="45"/>
  </w:num>
  <w:num w:numId="30">
    <w:abstractNumId w:val="33"/>
  </w:num>
  <w:num w:numId="31">
    <w:abstractNumId w:val="26"/>
  </w:num>
  <w:num w:numId="32">
    <w:abstractNumId w:val="36"/>
  </w:num>
  <w:num w:numId="33">
    <w:abstractNumId w:val="4"/>
  </w:num>
  <w:num w:numId="34">
    <w:abstractNumId w:val="35"/>
  </w:num>
  <w:num w:numId="35">
    <w:abstractNumId w:val="19"/>
  </w:num>
  <w:num w:numId="36">
    <w:abstractNumId w:val="42"/>
  </w:num>
  <w:num w:numId="37">
    <w:abstractNumId w:val="14"/>
  </w:num>
  <w:num w:numId="38">
    <w:abstractNumId w:val="25"/>
  </w:num>
  <w:num w:numId="39">
    <w:abstractNumId w:val="21"/>
  </w:num>
  <w:num w:numId="40">
    <w:abstractNumId w:val="28"/>
  </w:num>
  <w:num w:numId="41">
    <w:abstractNumId w:val="24"/>
  </w:num>
  <w:num w:numId="42">
    <w:abstractNumId w:val="2"/>
  </w:num>
  <w:num w:numId="43">
    <w:abstractNumId w:val="1"/>
  </w:num>
  <w:num w:numId="44">
    <w:abstractNumId w:val="3"/>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23"/>
  </w:num>
  <w:num w:numId="48">
    <w:abstractNumId w:val="1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85"/>
    <w:rsid w:val="00000E55"/>
    <w:rsid w:val="0000307E"/>
    <w:rsid w:val="00003DFD"/>
    <w:rsid w:val="00005A6F"/>
    <w:rsid w:val="00006572"/>
    <w:rsid w:val="00012D57"/>
    <w:rsid w:val="000132E6"/>
    <w:rsid w:val="00021DE0"/>
    <w:rsid w:val="00023CBF"/>
    <w:rsid w:val="00030C0E"/>
    <w:rsid w:val="0003260F"/>
    <w:rsid w:val="0003438D"/>
    <w:rsid w:val="000360A5"/>
    <w:rsid w:val="000360EE"/>
    <w:rsid w:val="00037C67"/>
    <w:rsid w:val="000467DE"/>
    <w:rsid w:val="00046CE7"/>
    <w:rsid w:val="00051564"/>
    <w:rsid w:val="000605B2"/>
    <w:rsid w:val="00060E86"/>
    <w:rsid w:val="000629EC"/>
    <w:rsid w:val="00063E70"/>
    <w:rsid w:val="0006572F"/>
    <w:rsid w:val="0006734D"/>
    <w:rsid w:val="00070EA9"/>
    <w:rsid w:val="0007632F"/>
    <w:rsid w:val="000777BC"/>
    <w:rsid w:val="000808F4"/>
    <w:rsid w:val="000835EC"/>
    <w:rsid w:val="00085E6E"/>
    <w:rsid w:val="00086105"/>
    <w:rsid w:val="00086DA5"/>
    <w:rsid w:val="00095815"/>
    <w:rsid w:val="0009687B"/>
    <w:rsid w:val="00097FBB"/>
    <w:rsid w:val="000A6A83"/>
    <w:rsid w:val="000B4CD6"/>
    <w:rsid w:val="000C29F2"/>
    <w:rsid w:val="000C6483"/>
    <w:rsid w:val="000C6C24"/>
    <w:rsid w:val="000D0423"/>
    <w:rsid w:val="000D506D"/>
    <w:rsid w:val="000E1169"/>
    <w:rsid w:val="000E2C94"/>
    <w:rsid w:val="000E3B2D"/>
    <w:rsid w:val="000E7A36"/>
    <w:rsid w:val="000F2AE1"/>
    <w:rsid w:val="000F7905"/>
    <w:rsid w:val="000F7CFD"/>
    <w:rsid w:val="001032B9"/>
    <w:rsid w:val="0010511E"/>
    <w:rsid w:val="00114A32"/>
    <w:rsid w:val="00122831"/>
    <w:rsid w:val="00124F9B"/>
    <w:rsid w:val="00132609"/>
    <w:rsid w:val="00137AC9"/>
    <w:rsid w:val="0014001C"/>
    <w:rsid w:val="00141DFC"/>
    <w:rsid w:val="0014303E"/>
    <w:rsid w:val="0014348A"/>
    <w:rsid w:val="001508BF"/>
    <w:rsid w:val="0015726F"/>
    <w:rsid w:val="00161113"/>
    <w:rsid w:val="00166150"/>
    <w:rsid w:val="00171C81"/>
    <w:rsid w:val="0018140F"/>
    <w:rsid w:val="00183466"/>
    <w:rsid w:val="00186595"/>
    <w:rsid w:val="0019700E"/>
    <w:rsid w:val="00197810"/>
    <w:rsid w:val="00197C4C"/>
    <w:rsid w:val="001A0111"/>
    <w:rsid w:val="001A374A"/>
    <w:rsid w:val="001B08BA"/>
    <w:rsid w:val="001C12F2"/>
    <w:rsid w:val="001C6285"/>
    <w:rsid w:val="001C7630"/>
    <w:rsid w:val="001F0120"/>
    <w:rsid w:val="001F0698"/>
    <w:rsid w:val="001F09CC"/>
    <w:rsid w:val="001F3B00"/>
    <w:rsid w:val="001F5BCA"/>
    <w:rsid w:val="00200B5C"/>
    <w:rsid w:val="00212A9F"/>
    <w:rsid w:val="00227E1B"/>
    <w:rsid w:val="00235D1B"/>
    <w:rsid w:val="0023669B"/>
    <w:rsid w:val="0023705F"/>
    <w:rsid w:val="00241377"/>
    <w:rsid w:val="00244675"/>
    <w:rsid w:val="00246EDB"/>
    <w:rsid w:val="00250F87"/>
    <w:rsid w:val="00260885"/>
    <w:rsid w:val="00262175"/>
    <w:rsid w:val="00263305"/>
    <w:rsid w:val="00264616"/>
    <w:rsid w:val="00267F57"/>
    <w:rsid w:val="00270ED0"/>
    <w:rsid w:val="002727EB"/>
    <w:rsid w:val="00273A6B"/>
    <w:rsid w:val="00283843"/>
    <w:rsid w:val="00283954"/>
    <w:rsid w:val="00284CE9"/>
    <w:rsid w:val="00287F53"/>
    <w:rsid w:val="00293FDE"/>
    <w:rsid w:val="00296437"/>
    <w:rsid w:val="00296846"/>
    <w:rsid w:val="002A187C"/>
    <w:rsid w:val="002A373F"/>
    <w:rsid w:val="002A49F5"/>
    <w:rsid w:val="002A66DB"/>
    <w:rsid w:val="002B1D5D"/>
    <w:rsid w:val="002B45F7"/>
    <w:rsid w:val="002B5EB0"/>
    <w:rsid w:val="002C2516"/>
    <w:rsid w:val="002C3BA5"/>
    <w:rsid w:val="002C4609"/>
    <w:rsid w:val="002D0A16"/>
    <w:rsid w:val="002D11AE"/>
    <w:rsid w:val="002D1DF0"/>
    <w:rsid w:val="002D75A9"/>
    <w:rsid w:val="002E05DD"/>
    <w:rsid w:val="002E0FEA"/>
    <w:rsid w:val="002E1625"/>
    <w:rsid w:val="002E4162"/>
    <w:rsid w:val="002F2874"/>
    <w:rsid w:val="00301728"/>
    <w:rsid w:val="00302034"/>
    <w:rsid w:val="00302F5B"/>
    <w:rsid w:val="00303947"/>
    <w:rsid w:val="00303A59"/>
    <w:rsid w:val="00303CA1"/>
    <w:rsid w:val="00305A82"/>
    <w:rsid w:val="00313D9E"/>
    <w:rsid w:val="0031489E"/>
    <w:rsid w:val="003213F7"/>
    <w:rsid w:val="0032669D"/>
    <w:rsid w:val="00326EC8"/>
    <w:rsid w:val="00335701"/>
    <w:rsid w:val="0034432F"/>
    <w:rsid w:val="0034632E"/>
    <w:rsid w:val="0035604E"/>
    <w:rsid w:val="00362BFC"/>
    <w:rsid w:val="003644FA"/>
    <w:rsid w:val="00376F36"/>
    <w:rsid w:val="003807D5"/>
    <w:rsid w:val="00380CC1"/>
    <w:rsid w:val="003830C7"/>
    <w:rsid w:val="00383555"/>
    <w:rsid w:val="00383EC1"/>
    <w:rsid w:val="00385640"/>
    <w:rsid w:val="00385E68"/>
    <w:rsid w:val="0038652C"/>
    <w:rsid w:val="003903AA"/>
    <w:rsid w:val="003912F5"/>
    <w:rsid w:val="003942B7"/>
    <w:rsid w:val="00394685"/>
    <w:rsid w:val="003950CE"/>
    <w:rsid w:val="00395644"/>
    <w:rsid w:val="00397996"/>
    <w:rsid w:val="003A16DB"/>
    <w:rsid w:val="003A1C71"/>
    <w:rsid w:val="003A21F5"/>
    <w:rsid w:val="003A27D9"/>
    <w:rsid w:val="003A58A7"/>
    <w:rsid w:val="003A6EAB"/>
    <w:rsid w:val="003B2217"/>
    <w:rsid w:val="003C0779"/>
    <w:rsid w:val="003C4FB2"/>
    <w:rsid w:val="003D2F56"/>
    <w:rsid w:val="003D443B"/>
    <w:rsid w:val="003D7E88"/>
    <w:rsid w:val="003E2833"/>
    <w:rsid w:val="003E2C99"/>
    <w:rsid w:val="003E311F"/>
    <w:rsid w:val="003E5F36"/>
    <w:rsid w:val="0040300A"/>
    <w:rsid w:val="0041064C"/>
    <w:rsid w:val="00411DC4"/>
    <w:rsid w:val="00422A7D"/>
    <w:rsid w:val="00422A8E"/>
    <w:rsid w:val="004243FA"/>
    <w:rsid w:val="00424634"/>
    <w:rsid w:val="00424B42"/>
    <w:rsid w:val="0043302D"/>
    <w:rsid w:val="004350C8"/>
    <w:rsid w:val="00435503"/>
    <w:rsid w:val="0043749D"/>
    <w:rsid w:val="00440B05"/>
    <w:rsid w:val="004432F7"/>
    <w:rsid w:val="004475A5"/>
    <w:rsid w:val="0044789E"/>
    <w:rsid w:val="00447A4A"/>
    <w:rsid w:val="00447CB4"/>
    <w:rsid w:val="004500B7"/>
    <w:rsid w:val="004513E8"/>
    <w:rsid w:val="00452962"/>
    <w:rsid w:val="00457510"/>
    <w:rsid w:val="004606F6"/>
    <w:rsid w:val="004617F5"/>
    <w:rsid w:val="004654AE"/>
    <w:rsid w:val="00483295"/>
    <w:rsid w:val="004870D9"/>
    <w:rsid w:val="004943EA"/>
    <w:rsid w:val="00494C5F"/>
    <w:rsid w:val="004958B6"/>
    <w:rsid w:val="00497F8B"/>
    <w:rsid w:val="004A5BDC"/>
    <w:rsid w:val="004B0ECC"/>
    <w:rsid w:val="004B268D"/>
    <w:rsid w:val="004B691F"/>
    <w:rsid w:val="004C0F16"/>
    <w:rsid w:val="004C5FF5"/>
    <w:rsid w:val="004C66C9"/>
    <w:rsid w:val="004C71C6"/>
    <w:rsid w:val="004D0BBA"/>
    <w:rsid w:val="004D7FF7"/>
    <w:rsid w:val="004E04B1"/>
    <w:rsid w:val="004E0C5F"/>
    <w:rsid w:val="004E2BFD"/>
    <w:rsid w:val="004E5D5A"/>
    <w:rsid w:val="004E6694"/>
    <w:rsid w:val="004F4AB6"/>
    <w:rsid w:val="004F5E75"/>
    <w:rsid w:val="00503151"/>
    <w:rsid w:val="00514702"/>
    <w:rsid w:val="005166D5"/>
    <w:rsid w:val="005236D0"/>
    <w:rsid w:val="00527C76"/>
    <w:rsid w:val="00532A17"/>
    <w:rsid w:val="005367B4"/>
    <w:rsid w:val="005444BA"/>
    <w:rsid w:val="00552757"/>
    <w:rsid w:val="005536FC"/>
    <w:rsid w:val="005743BE"/>
    <w:rsid w:val="00575F57"/>
    <w:rsid w:val="00576551"/>
    <w:rsid w:val="00577EF9"/>
    <w:rsid w:val="00590E27"/>
    <w:rsid w:val="00591C22"/>
    <w:rsid w:val="005A114A"/>
    <w:rsid w:val="005A5DB7"/>
    <w:rsid w:val="005A6760"/>
    <w:rsid w:val="005B2121"/>
    <w:rsid w:val="005B293D"/>
    <w:rsid w:val="005B5F5F"/>
    <w:rsid w:val="005C180B"/>
    <w:rsid w:val="005C22FC"/>
    <w:rsid w:val="005D1C34"/>
    <w:rsid w:val="005D1E2B"/>
    <w:rsid w:val="005D46D2"/>
    <w:rsid w:val="005D5BEC"/>
    <w:rsid w:val="005E5AC9"/>
    <w:rsid w:val="005E7A67"/>
    <w:rsid w:val="005F1B1F"/>
    <w:rsid w:val="005F4899"/>
    <w:rsid w:val="005F5108"/>
    <w:rsid w:val="005F5C1E"/>
    <w:rsid w:val="005F6017"/>
    <w:rsid w:val="005F710C"/>
    <w:rsid w:val="0060048D"/>
    <w:rsid w:val="00604529"/>
    <w:rsid w:val="0060559F"/>
    <w:rsid w:val="00606028"/>
    <w:rsid w:val="006127E3"/>
    <w:rsid w:val="0061594D"/>
    <w:rsid w:val="00635A62"/>
    <w:rsid w:val="00637C31"/>
    <w:rsid w:val="0064259A"/>
    <w:rsid w:val="006470A4"/>
    <w:rsid w:val="00650404"/>
    <w:rsid w:val="0065125A"/>
    <w:rsid w:val="00652A8A"/>
    <w:rsid w:val="006559AB"/>
    <w:rsid w:val="0066042B"/>
    <w:rsid w:val="00660B0A"/>
    <w:rsid w:val="00662500"/>
    <w:rsid w:val="00662D17"/>
    <w:rsid w:val="006647E5"/>
    <w:rsid w:val="00664B65"/>
    <w:rsid w:val="0067381E"/>
    <w:rsid w:val="00676CD3"/>
    <w:rsid w:val="00677CC5"/>
    <w:rsid w:val="00680F7C"/>
    <w:rsid w:val="006833B2"/>
    <w:rsid w:val="00685DE9"/>
    <w:rsid w:val="00695C27"/>
    <w:rsid w:val="006964B9"/>
    <w:rsid w:val="006A0051"/>
    <w:rsid w:val="006A1A74"/>
    <w:rsid w:val="006A526E"/>
    <w:rsid w:val="006A6E37"/>
    <w:rsid w:val="006A7F0B"/>
    <w:rsid w:val="006B46B5"/>
    <w:rsid w:val="006B6FC0"/>
    <w:rsid w:val="006C0112"/>
    <w:rsid w:val="006C2B45"/>
    <w:rsid w:val="006C44F3"/>
    <w:rsid w:val="006C5157"/>
    <w:rsid w:val="006C71A5"/>
    <w:rsid w:val="006D025F"/>
    <w:rsid w:val="006E3716"/>
    <w:rsid w:val="006E4310"/>
    <w:rsid w:val="006E6704"/>
    <w:rsid w:val="006E753E"/>
    <w:rsid w:val="006F1ADD"/>
    <w:rsid w:val="00701460"/>
    <w:rsid w:val="00702354"/>
    <w:rsid w:val="00704B7E"/>
    <w:rsid w:val="00710E1D"/>
    <w:rsid w:val="00711802"/>
    <w:rsid w:val="007136EC"/>
    <w:rsid w:val="00713B20"/>
    <w:rsid w:val="00723904"/>
    <w:rsid w:val="007329D4"/>
    <w:rsid w:val="00736AEC"/>
    <w:rsid w:val="00751635"/>
    <w:rsid w:val="0075396B"/>
    <w:rsid w:val="007560DA"/>
    <w:rsid w:val="00756485"/>
    <w:rsid w:val="0076581E"/>
    <w:rsid w:val="0076742D"/>
    <w:rsid w:val="00772DC4"/>
    <w:rsid w:val="00775CB6"/>
    <w:rsid w:val="00777430"/>
    <w:rsid w:val="0078345E"/>
    <w:rsid w:val="0078606B"/>
    <w:rsid w:val="00787FED"/>
    <w:rsid w:val="00790F69"/>
    <w:rsid w:val="00793107"/>
    <w:rsid w:val="007A0F3E"/>
    <w:rsid w:val="007A3671"/>
    <w:rsid w:val="007A5A66"/>
    <w:rsid w:val="007C27F5"/>
    <w:rsid w:val="007C5BB0"/>
    <w:rsid w:val="007C6890"/>
    <w:rsid w:val="007C6D5C"/>
    <w:rsid w:val="007D18EF"/>
    <w:rsid w:val="007D5A6D"/>
    <w:rsid w:val="007D754A"/>
    <w:rsid w:val="007D7F8A"/>
    <w:rsid w:val="007E5992"/>
    <w:rsid w:val="007F5C8E"/>
    <w:rsid w:val="007F6B63"/>
    <w:rsid w:val="0080089C"/>
    <w:rsid w:val="00802E48"/>
    <w:rsid w:val="00807E8A"/>
    <w:rsid w:val="008113A9"/>
    <w:rsid w:val="0082040C"/>
    <w:rsid w:val="008224AB"/>
    <w:rsid w:val="00824265"/>
    <w:rsid w:val="00824535"/>
    <w:rsid w:val="00826F33"/>
    <w:rsid w:val="00827AD0"/>
    <w:rsid w:val="00834E41"/>
    <w:rsid w:val="00835709"/>
    <w:rsid w:val="008617DC"/>
    <w:rsid w:val="00865F26"/>
    <w:rsid w:val="00872BBB"/>
    <w:rsid w:val="008826BB"/>
    <w:rsid w:val="00882C76"/>
    <w:rsid w:val="00884711"/>
    <w:rsid w:val="008856CD"/>
    <w:rsid w:val="008879EE"/>
    <w:rsid w:val="00891A8D"/>
    <w:rsid w:val="008952B9"/>
    <w:rsid w:val="008B2E35"/>
    <w:rsid w:val="008C1F8C"/>
    <w:rsid w:val="008C26DC"/>
    <w:rsid w:val="008C3FE2"/>
    <w:rsid w:val="008C62AA"/>
    <w:rsid w:val="008C6642"/>
    <w:rsid w:val="008D038B"/>
    <w:rsid w:val="008D24CC"/>
    <w:rsid w:val="008D5822"/>
    <w:rsid w:val="008E1EDB"/>
    <w:rsid w:val="008E21F6"/>
    <w:rsid w:val="008E2652"/>
    <w:rsid w:val="008E3C14"/>
    <w:rsid w:val="008E4366"/>
    <w:rsid w:val="008E44D9"/>
    <w:rsid w:val="008E45C8"/>
    <w:rsid w:val="008E63D1"/>
    <w:rsid w:val="008F008C"/>
    <w:rsid w:val="008F1B9B"/>
    <w:rsid w:val="008F76E5"/>
    <w:rsid w:val="0090217F"/>
    <w:rsid w:val="009030F7"/>
    <w:rsid w:val="00905C16"/>
    <w:rsid w:val="009070D5"/>
    <w:rsid w:val="009128C1"/>
    <w:rsid w:val="009164FC"/>
    <w:rsid w:val="009213CA"/>
    <w:rsid w:val="009239CD"/>
    <w:rsid w:val="00926F22"/>
    <w:rsid w:val="009360B5"/>
    <w:rsid w:val="009377F8"/>
    <w:rsid w:val="0094219E"/>
    <w:rsid w:val="009428DC"/>
    <w:rsid w:val="00943366"/>
    <w:rsid w:val="00946C6C"/>
    <w:rsid w:val="0094703F"/>
    <w:rsid w:val="00950899"/>
    <w:rsid w:val="00951439"/>
    <w:rsid w:val="00957527"/>
    <w:rsid w:val="00960E38"/>
    <w:rsid w:val="00965B42"/>
    <w:rsid w:val="0097147D"/>
    <w:rsid w:val="00972D5B"/>
    <w:rsid w:val="009751BC"/>
    <w:rsid w:val="009866DD"/>
    <w:rsid w:val="00990B27"/>
    <w:rsid w:val="00991044"/>
    <w:rsid w:val="009973DE"/>
    <w:rsid w:val="009974EC"/>
    <w:rsid w:val="00997537"/>
    <w:rsid w:val="009A1387"/>
    <w:rsid w:val="009A449F"/>
    <w:rsid w:val="009A5CCA"/>
    <w:rsid w:val="009A7F2F"/>
    <w:rsid w:val="009B0C94"/>
    <w:rsid w:val="009B1839"/>
    <w:rsid w:val="009B5BBE"/>
    <w:rsid w:val="009B64B7"/>
    <w:rsid w:val="009C7121"/>
    <w:rsid w:val="009C7DF4"/>
    <w:rsid w:val="009D06AB"/>
    <w:rsid w:val="009D27E7"/>
    <w:rsid w:val="009D6566"/>
    <w:rsid w:val="009D6B53"/>
    <w:rsid w:val="009E1947"/>
    <w:rsid w:val="009E272C"/>
    <w:rsid w:val="009F0D55"/>
    <w:rsid w:val="009F4C14"/>
    <w:rsid w:val="00A116CE"/>
    <w:rsid w:val="00A12AED"/>
    <w:rsid w:val="00A138A8"/>
    <w:rsid w:val="00A14534"/>
    <w:rsid w:val="00A14DB0"/>
    <w:rsid w:val="00A159D8"/>
    <w:rsid w:val="00A16398"/>
    <w:rsid w:val="00A17138"/>
    <w:rsid w:val="00A20E5C"/>
    <w:rsid w:val="00A22AB3"/>
    <w:rsid w:val="00A2340F"/>
    <w:rsid w:val="00A23908"/>
    <w:rsid w:val="00A34047"/>
    <w:rsid w:val="00A36B5E"/>
    <w:rsid w:val="00A37A0C"/>
    <w:rsid w:val="00A409A7"/>
    <w:rsid w:val="00A42D5E"/>
    <w:rsid w:val="00A47E95"/>
    <w:rsid w:val="00A50DBA"/>
    <w:rsid w:val="00A5126E"/>
    <w:rsid w:val="00A528F0"/>
    <w:rsid w:val="00A62B7A"/>
    <w:rsid w:val="00A63ED1"/>
    <w:rsid w:val="00A66713"/>
    <w:rsid w:val="00A713E1"/>
    <w:rsid w:val="00A80EB0"/>
    <w:rsid w:val="00A84BDB"/>
    <w:rsid w:val="00A8529E"/>
    <w:rsid w:val="00A91019"/>
    <w:rsid w:val="00A946C8"/>
    <w:rsid w:val="00AA26C4"/>
    <w:rsid w:val="00AA3D24"/>
    <w:rsid w:val="00AA6F32"/>
    <w:rsid w:val="00AB07F9"/>
    <w:rsid w:val="00AB117B"/>
    <w:rsid w:val="00AB32B7"/>
    <w:rsid w:val="00AB7943"/>
    <w:rsid w:val="00AC09E4"/>
    <w:rsid w:val="00AC192E"/>
    <w:rsid w:val="00AC314B"/>
    <w:rsid w:val="00AC3EAA"/>
    <w:rsid w:val="00AC49A0"/>
    <w:rsid w:val="00AC6E03"/>
    <w:rsid w:val="00AD56A8"/>
    <w:rsid w:val="00AD699B"/>
    <w:rsid w:val="00AE15E2"/>
    <w:rsid w:val="00AE2D48"/>
    <w:rsid w:val="00AE5011"/>
    <w:rsid w:val="00AF18F3"/>
    <w:rsid w:val="00B02E31"/>
    <w:rsid w:val="00B07969"/>
    <w:rsid w:val="00B12466"/>
    <w:rsid w:val="00B15160"/>
    <w:rsid w:val="00B22973"/>
    <w:rsid w:val="00B23EE6"/>
    <w:rsid w:val="00B25E18"/>
    <w:rsid w:val="00B31753"/>
    <w:rsid w:val="00B3281B"/>
    <w:rsid w:val="00B32DFA"/>
    <w:rsid w:val="00B34230"/>
    <w:rsid w:val="00B34241"/>
    <w:rsid w:val="00B40844"/>
    <w:rsid w:val="00B426C6"/>
    <w:rsid w:val="00B53F31"/>
    <w:rsid w:val="00B5576B"/>
    <w:rsid w:val="00B55F24"/>
    <w:rsid w:val="00B5714D"/>
    <w:rsid w:val="00B6039E"/>
    <w:rsid w:val="00B62E10"/>
    <w:rsid w:val="00B62E5F"/>
    <w:rsid w:val="00B65CA3"/>
    <w:rsid w:val="00B664B3"/>
    <w:rsid w:val="00B6756C"/>
    <w:rsid w:val="00B6763A"/>
    <w:rsid w:val="00B810AB"/>
    <w:rsid w:val="00B83575"/>
    <w:rsid w:val="00B83F51"/>
    <w:rsid w:val="00B850AA"/>
    <w:rsid w:val="00B85580"/>
    <w:rsid w:val="00B85B7D"/>
    <w:rsid w:val="00B920E4"/>
    <w:rsid w:val="00B94CE8"/>
    <w:rsid w:val="00B960C2"/>
    <w:rsid w:val="00BA0B7A"/>
    <w:rsid w:val="00BA12EB"/>
    <w:rsid w:val="00BA67C9"/>
    <w:rsid w:val="00BC5E5F"/>
    <w:rsid w:val="00BC7075"/>
    <w:rsid w:val="00BD37A2"/>
    <w:rsid w:val="00BD474B"/>
    <w:rsid w:val="00BD47C6"/>
    <w:rsid w:val="00BD5057"/>
    <w:rsid w:val="00BE022E"/>
    <w:rsid w:val="00BE2EFC"/>
    <w:rsid w:val="00BE4A78"/>
    <w:rsid w:val="00BE6BB0"/>
    <w:rsid w:val="00BF303C"/>
    <w:rsid w:val="00C049D4"/>
    <w:rsid w:val="00C05247"/>
    <w:rsid w:val="00C11DE9"/>
    <w:rsid w:val="00C15DF3"/>
    <w:rsid w:val="00C203E8"/>
    <w:rsid w:val="00C32232"/>
    <w:rsid w:val="00C35793"/>
    <w:rsid w:val="00C45109"/>
    <w:rsid w:val="00C5467D"/>
    <w:rsid w:val="00C81E21"/>
    <w:rsid w:val="00C82240"/>
    <w:rsid w:val="00C83699"/>
    <w:rsid w:val="00C849E4"/>
    <w:rsid w:val="00C85AE5"/>
    <w:rsid w:val="00C869A8"/>
    <w:rsid w:val="00C90E3E"/>
    <w:rsid w:val="00C92D39"/>
    <w:rsid w:val="00C953C3"/>
    <w:rsid w:val="00C96906"/>
    <w:rsid w:val="00C96C5A"/>
    <w:rsid w:val="00C97FF4"/>
    <w:rsid w:val="00CA3710"/>
    <w:rsid w:val="00CB2529"/>
    <w:rsid w:val="00CB3352"/>
    <w:rsid w:val="00CB57EF"/>
    <w:rsid w:val="00CB61CA"/>
    <w:rsid w:val="00CC4BD6"/>
    <w:rsid w:val="00CD15C5"/>
    <w:rsid w:val="00CD2CFC"/>
    <w:rsid w:val="00CD40A2"/>
    <w:rsid w:val="00CD54C3"/>
    <w:rsid w:val="00CE0D5C"/>
    <w:rsid w:val="00CE6721"/>
    <w:rsid w:val="00CF1B1E"/>
    <w:rsid w:val="00CF30FF"/>
    <w:rsid w:val="00D0031E"/>
    <w:rsid w:val="00D020D5"/>
    <w:rsid w:val="00D02DD9"/>
    <w:rsid w:val="00D040E1"/>
    <w:rsid w:val="00D063BD"/>
    <w:rsid w:val="00D15345"/>
    <w:rsid w:val="00D16E05"/>
    <w:rsid w:val="00D17585"/>
    <w:rsid w:val="00D176ED"/>
    <w:rsid w:val="00D17D92"/>
    <w:rsid w:val="00D2278E"/>
    <w:rsid w:val="00D24E3D"/>
    <w:rsid w:val="00D27E56"/>
    <w:rsid w:val="00D32FFE"/>
    <w:rsid w:val="00D4593A"/>
    <w:rsid w:val="00D46FBA"/>
    <w:rsid w:val="00D52A8A"/>
    <w:rsid w:val="00D53536"/>
    <w:rsid w:val="00D54E7E"/>
    <w:rsid w:val="00D6385C"/>
    <w:rsid w:val="00D659B8"/>
    <w:rsid w:val="00D66047"/>
    <w:rsid w:val="00D7171D"/>
    <w:rsid w:val="00D75088"/>
    <w:rsid w:val="00D75F2B"/>
    <w:rsid w:val="00D83B74"/>
    <w:rsid w:val="00D94095"/>
    <w:rsid w:val="00D954BC"/>
    <w:rsid w:val="00DA3362"/>
    <w:rsid w:val="00DA4D4F"/>
    <w:rsid w:val="00DA73B4"/>
    <w:rsid w:val="00DB0042"/>
    <w:rsid w:val="00DB1105"/>
    <w:rsid w:val="00DC505E"/>
    <w:rsid w:val="00DC5C2D"/>
    <w:rsid w:val="00DC6C31"/>
    <w:rsid w:val="00DD45C5"/>
    <w:rsid w:val="00DD6AEC"/>
    <w:rsid w:val="00DE159D"/>
    <w:rsid w:val="00DE1D3E"/>
    <w:rsid w:val="00DE3A6F"/>
    <w:rsid w:val="00DE5697"/>
    <w:rsid w:val="00DE7671"/>
    <w:rsid w:val="00DF00E2"/>
    <w:rsid w:val="00DF34B5"/>
    <w:rsid w:val="00DF4C92"/>
    <w:rsid w:val="00DF65EF"/>
    <w:rsid w:val="00E007C7"/>
    <w:rsid w:val="00E01248"/>
    <w:rsid w:val="00E03E71"/>
    <w:rsid w:val="00E047B8"/>
    <w:rsid w:val="00E0777C"/>
    <w:rsid w:val="00E217A8"/>
    <w:rsid w:val="00E248FC"/>
    <w:rsid w:val="00E27D92"/>
    <w:rsid w:val="00E30DF1"/>
    <w:rsid w:val="00E336F2"/>
    <w:rsid w:val="00E337E6"/>
    <w:rsid w:val="00E35BEB"/>
    <w:rsid w:val="00E40D8C"/>
    <w:rsid w:val="00E42A6A"/>
    <w:rsid w:val="00E47E02"/>
    <w:rsid w:val="00E52541"/>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D2A"/>
    <w:rsid w:val="00E85715"/>
    <w:rsid w:val="00EA00D5"/>
    <w:rsid w:val="00EA3C7C"/>
    <w:rsid w:val="00EB1806"/>
    <w:rsid w:val="00EB1AF1"/>
    <w:rsid w:val="00EB6FCC"/>
    <w:rsid w:val="00EB72AB"/>
    <w:rsid w:val="00EB7C04"/>
    <w:rsid w:val="00EC0359"/>
    <w:rsid w:val="00EC0E55"/>
    <w:rsid w:val="00EC3306"/>
    <w:rsid w:val="00ED3914"/>
    <w:rsid w:val="00ED3E8E"/>
    <w:rsid w:val="00ED4FBC"/>
    <w:rsid w:val="00ED5A20"/>
    <w:rsid w:val="00ED5B1E"/>
    <w:rsid w:val="00EE0F3B"/>
    <w:rsid w:val="00EE2196"/>
    <w:rsid w:val="00EF3D46"/>
    <w:rsid w:val="00EF58B9"/>
    <w:rsid w:val="00F01FDA"/>
    <w:rsid w:val="00F06B71"/>
    <w:rsid w:val="00F06BFF"/>
    <w:rsid w:val="00F07110"/>
    <w:rsid w:val="00F15B8C"/>
    <w:rsid w:val="00F27430"/>
    <w:rsid w:val="00F30CA7"/>
    <w:rsid w:val="00F31607"/>
    <w:rsid w:val="00F33A55"/>
    <w:rsid w:val="00F34D70"/>
    <w:rsid w:val="00F360D9"/>
    <w:rsid w:val="00F365F1"/>
    <w:rsid w:val="00F44E6C"/>
    <w:rsid w:val="00F47409"/>
    <w:rsid w:val="00F5284B"/>
    <w:rsid w:val="00F609AF"/>
    <w:rsid w:val="00F62BCE"/>
    <w:rsid w:val="00F63297"/>
    <w:rsid w:val="00F656A3"/>
    <w:rsid w:val="00F71A85"/>
    <w:rsid w:val="00F721AD"/>
    <w:rsid w:val="00F750AF"/>
    <w:rsid w:val="00F77EFA"/>
    <w:rsid w:val="00F82C76"/>
    <w:rsid w:val="00F85A7F"/>
    <w:rsid w:val="00F90467"/>
    <w:rsid w:val="00FA0F51"/>
    <w:rsid w:val="00FA2E48"/>
    <w:rsid w:val="00FA3D22"/>
    <w:rsid w:val="00FA4AF5"/>
    <w:rsid w:val="00FA54BF"/>
    <w:rsid w:val="00FA7AC2"/>
    <w:rsid w:val="00FB2C38"/>
    <w:rsid w:val="00FB464F"/>
    <w:rsid w:val="00FC0253"/>
    <w:rsid w:val="00FC3266"/>
    <w:rsid w:val="00FC46CC"/>
    <w:rsid w:val="00FC63CD"/>
    <w:rsid w:val="00FD4377"/>
    <w:rsid w:val="00FD4919"/>
    <w:rsid w:val="00FE0277"/>
    <w:rsid w:val="00FE51FB"/>
    <w:rsid w:val="00FE756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D5"/>
  </w:style>
  <w:style w:type="paragraph" w:styleId="1">
    <w:name w:val="heading 1"/>
    <w:basedOn w:val="a"/>
    <w:next w:val="a"/>
    <w:link w:val="10"/>
    <w:qFormat/>
    <w:rsid w:val="00C82240"/>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C82240"/>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C82240"/>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C82240"/>
    <w:rPr>
      <w:rFonts w:ascii="Times New Roman" w:eastAsia="Times New Roman" w:hAnsi="Times New Roman" w:cs="Times New Roman"/>
      <w:b/>
      <w:snapToGrid w:val="0"/>
      <w:sz w:val="28"/>
      <w:szCs w:val="20"/>
      <w:lang w:eastAsia="ru-RU"/>
    </w:rPr>
  </w:style>
  <w:style w:type="table" w:customStyle="1" w:styleId="11">
    <w:name w:val="Сетка таблицы1"/>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2240"/>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C82240"/>
    <w:rPr>
      <w:color w:val="0000FF"/>
      <w:u w:val="single"/>
    </w:rPr>
  </w:style>
  <w:style w:type="character" w:customStyle="1" w:styleId="apple-converted-space">
    <w:name w:val="apple-converted-space"/>
    <w:basedOn w:val="a0"/>
    <w:rsid w:val="00C82240"/>
  </w:style>
  <w:style w:type="paragraph" w:customStyle="1" w:styleId="ConsPlusTitle">
    <w:name w:val="ConsPlusTitle"/>
    <w:rsid w:val="00C82240"/>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C8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C82240"/>
    <w:rPr>
      <w:sz w:val="26"/>
      <w:szCs w:val="26"/>
      <w:shd w:val="clear" w:color="auto" w:fill="FFFFFF"/>
    </w:rPr>
  </w:style>
  <w:style w:type="paragraph" w:customStyle="1" w:styleId="Style2">
    <w:name w:val="Style 2"/>
    <w:basedOn w:val="a"/>
    <w:link w:val="CharStyle3"/>
    <w:uiPriority w:val="99"/>
    <w:rsid w:val="00C82240"/>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C82240"/>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C82240"/>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82240"/>
  </w:style>
  <w:style w:type="paragraph" w:styleId="af2">
    <w:name w:val="Body Text"/>
    <w:basedOn w:val="a"/>
    <w:link w:val="af3"/>
    <w:rsid w:val="00C82240"/>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C82240"/>
    <w:rPr>
      <w:rFonts w:ascii="Times New Roman" w:eastAsia="Times New Roman" w:hAnsi="Times New Roman" w:cs="Times New Roman"/>
      <w:sz w:val="28"/>
      <w:szCs w:val="24"/>
      <w:lang w:eastAsia="ru-RU"/>
    </w:rPr>
  </w:style>
  <w:style w:type="paragraph" w:styleId="3">
    <w:name w:val="Body Text 3"/>
    <w:basedOn w:val="a"/>
    <w:link w:val="30"/>
    <w:rsid w:val="00C82240"/>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82240"/>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C82240"/>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C82240"/>
    <w:rPr>
      <w:rFonts w:ascii="Times New Roman" w:eastAsia="Times New Roman" w:hAnsi="Times New Roman" w:cs="Times New Roman"/>
      <w:sz w:val="20"/>
      <w:szCs w:val="20"/>
      <w:lang w:eastAsia="ru-RU"/>
    </w:rPr>
  </w:style>
  <w:style w:type="paragraph" w:styleId="af6">
    <w:name w:val="Plain Text"/>
    <w:basedOn w:val="a"/>
    <w:link w:val="af7"/>
    <w:rsid w:val="00C8224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82240"/>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C82240"/>
    <w:rPr>
      <w:sz w:val="26"/>
      <w:szCs w:val="26"/>
      <w:shd w:val="clear" w:color="auto" w:fill="FFFFFF"/>
    </w:rPr>
  </w:style>
  <w:style w:type="paragraph" w:customStyle="1" w:styleId="Style7">
    <w:name w:val="Style 7"/>
    <w:basedOn w:val="a"/>
    <w:link w:val="CharStyle8"/>
    <w:uiPriority w:val="99"/>
    <w:rsid w:val="00C82240"/>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82240"/>
    <w:rPr>
      <w:sz w:val="21"/>
      <w:szCs w:val="21"/>
      <w:shd w:val="clear" w:color="auto" w:fill="FFFFFF"/>
    </w:rPr>
  </w:style>
  <w:style w:type="paragraph" w:customStyle="1" w:styleId="Style31">
    <w:name w:val="Style 31"/>
    <w:basedOn w:val="a"/>
    <w:link w:val="CharStyle32"/>
    <w:uiPriority w:val="99"/>
    <w:rsid w:val="00C82240"/>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C822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D5"/>
  </w:style>
  <w:style w:type="paragraph" w:styleId="1">
    <w:name w:val="heading 1"/>
    <w:basedOn w:val="a"/>
    <w:next w:val="a"/>
    <w:link w:val="10"/>
    <w:qFormat/>
    <w:rsid w:val="00C82240"/>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paragraph" w:styleId="7">
    <w:name w:val="heading 7"/>
    <w:basedOn w:val="a"/>
    <w:next w:val="a"/>
    <w:link w:val="70"/>
    <w:qFormat/>
    <w:rsid w:val="00C82240"/>
    <w:pPr>
      <w:keepNext/>
      <w:widowControl w:val="0"/>
      <w:spacing w:after="0" w:line="240" w:lineRule="auto"/>
      <w:ind w:left="160"/>
      <w:jc w:val="center"/>
      <w:outlineLvl w:val="6"/>
    </w:pPr>
    <w:rPr>
      <w:rFonts w:ascii="Times New Roman" w:eastAsia="Times New Roman" w:hAnsi="Times New Roman" w:cs="Times New Roman"/>
      <w:b/>
      <w:snapToGrid w:val="0"/>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2608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885"/>
  </w:style>
  <w:style w:type="character" w:styleId="a6">
    <w:name w:val="page number"/>
    <w:basedOn w:val="a0"/>
    <w:rsid w:val="00260885"/>
  </w:style>
  <w:style w:type="table" w:styleId="a7">
    <w:name w:val="Table Grid"/>
    <w:basedOn w:val="a1"/>
    <w:uiPriority w:val="59"/>
    <w:rsid w:val="00260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nhideWhenUsed/>
    <w:rsid w:val="00260885"/>
    <w:pPr>
      <w:tabs>
        <w:tab w:val="center" w:pos="4677"/>
        <w:tab w:val="right" w:pos="9355"/>
      </w:tabs>
      <w:spacing w:after="0" w:line="240" w:lineRule="auto"/>
    </w:pPr>
  </w:style>
  <w:style w:type="character" w:customStyle="1" w:styleId="a9">
    <w:name w:val="Нижний колонтитул Знак"/>
    <w:basedOn w:val="a0"/>
    <w:link w:val="a8"/>
    <w:rsid w:val="00260885"/>
  </w:style>
  <w:style w:type="paragraph" w:styleId="aa">
    <w:name w:val="Balloon Text"/>
    <w:basedOn w:val="a"/>
    <w:link w:val="ab"/>
    <w:semiHidden/>
    <w:unhideWhenUsed/>
    <w:rsid w:val="00E85715"/>
    <w:pPr>
      <w:spacing w:after="0" w:line="240" w:lineRule="auto"/>
    </w:pPr>
    <w:rPr>
      <w:rFonts w:ascii="Tahoma" w:hAnsi="Tahoma" w:cs="Tahoma"/>
      <w:sz w:val="16"/>
      <w:szCs w:val="16"/>
    </w:rPr>
  </w:style>
  <w:style w:type="character" w:customStyle="1" w:styleId="ab">
    <w:name w:val="Текст выноски Знак"/>
    <w:basedOn w:val="a0"/>
    <w:link w:val="aa"/>
    <w:semiHidden/>
    <w:rsid w:val="00E85715"/>
    <w:rPr>
      <w:rFonts w:ascii="Tahoma" w:hAnsi="Tahoma" w:cs="Tahoma"/>
      <w:sz w:val="16"/>
      <w:szCs w:val="16"/>
    </w:rPr>
  </w:style>
  <w:style w:type="paragraph" w:styleId="ac">
    <w:name w:val="List Paragraph"/>
    <w:basedOn w:val="a"/>
    <w:uiPriority w:val="34"/>
    <w:qFormat/>
    <w:rsid w:val="00BD37A2"/>
    <w:pPr>
      <w:spacing w:after="160" w:line="259" w:lineRule="auto"/>
      <w:ind w:left="720"/>
      <w:contextualSpacing/>
    </w:pPr>
  </w:style>
  <w:style w:type="paragraph" w:styleId="ad">
    <w:name w:val="footnote text"/>
    <w:basedOn w:val="a"/>
    <w:link w:val="ae"/>
    <w:unhideWhenUsed/>
    <w:rsid w:val="00BD37A2"/>
    <w:pPr>
      <w:spacing w:after="0" w:line="240" w:lineRule="auto"/>
    </w:pPr>
    <w:rPr>
      <w:sz w:val="20"/>
      <w:szCs w:val="20"/>
    </w:rPr>
  </w:style>
  <w:style w:type="character" w:customStyle="1" w:styleId="ae">
    <w:name w:val="Текст сноски Знак"/>
    <w:basedOn w:val="a0"/>
    <w:link w:val="ad"/>
    <w:rsid w:val="00BD37A2"/>
    <w:rPr>
      <w:sz w:val="20"/>
      <w:szCs w:val="20"/>
    </w:rPr>
  </w:style>
  <w:style w:type="character" w:styleId="af">
    <w:name w:val="footnote reference"/>
    <w:basedOn w:val="a0"/>
    <w:unhideWhenUsed/>
    <w:rsid w:val="00BD37A2"/>
    <w:rPr>
      <w:vertAlign w:val="superscript"/>
    </w:rPr>
  </w:style>
  <w:style w:type="paragraph" w:customStyle="1" w:styleId="Default">
    <w:name w:val="Default"/>
    <w:rsid w:val="00BD37A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C82240"/>
    <w:rPr>
      <w:rFonts w:ascii="Times New Roman" w:eastAsiaTheme="majorEastAsia" w:hAnsi="Times New Roman" w:cstheme="majorBidi"/>
      <w:b/>
      <w:bCs/>
      <w:sz w:val="28"/>
      <w:szCs w:val="28"/>
      <w:lang w:val="en-US"/>
    </w:rPr>
  </w:style>
  <w:style w:type="character" w:customStyle="1" w:styleId="70">
    <w:name w:val="Заголовок 7 Знак"/>
    <w:basedOn w:val="a0"/>
    <w:link w:val="7"/>
    <w:rsid w:val="00C82240"/>
    <w:rPr>
      <w:rFonts w:ascii="Times New Roman" w:eastAsia="Times New Roman" w:hAnsi="Times New Roman" w:cs="Times New Roman"/>
      <w:b/>
      <w:snapToGrid w:val="0"/>
      <w:sz w:val="28"/>
      <w:szCs w:val="20"/>
      <w:lang w:eastAsia="ru-RU"/>
    </w:rPr>
  </w:style>
  <w:style w:type="table" w:customStyle="1" w:styleId="11">
    <w:name w:val="Сетка таблицы1"/>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82240"/>
    <w:pPr>
      <w:autoSpaceDE w:val="0"/>
      <w:autoSpaceDN w:val="0"/>
      <w:adjustRightInd w:val="0"/>
      <w:spacing w:after="0" w:line="240" w:lineRule="auto"/>
    </w:pPr>
    <w:rPr>
      <w:rFonts w:ascii="Times New Roman" w:hAnsi="Times New Roman" w:cs="Times New Roman"/>
      <w:sz w:val="28"/>
      <w:szCs w:val="28"/>
      <w:lang w:val="en-US"/>
    </w:rPr>
  </w:style>
  <w:style w:type="character" w:styleId="af0">
    <w:name w:val="Hyperlink"/>
    <w:basedOn w:val="a0"/>
    <w:uiPriority w:val="99"/>
    <w:unhideWhenUsed/>
    <w:rsid w:val="00C82240"/>
    <w:rPr>
      <w:color w:val="0000FF"/>
      <w:u w:val="single"/>
    </w:rPr>
  </w:style>
  <w:style w:type="character" w:customStyle="1" w:styleId="apple-converted-space">
    <w:name w:val="apple-converted-space"/>
    <w:basedOn w:val="a0"/>
    <w:rsid w:val="00C82240"/>
  </w:style>
  <w:style w:type="paragraph" w:customStyle="1" w:styleId="ConsPlusTitle">
    <w:name w:val="ConsPlusTitle"/>
    <w:rsid w:val="00C82240"/>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C822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C82240"/>
    <w:rPr>
      <w:sz w:val="26"/>
      <w:szCs w:val="26"/>
      <w:shd w:val="clear" w:color="auto" w:fill="FFFFFF"/>
    </w:rPr>
  </w:style>
  <w:style w:type="paragraph" w:customStyle="1" w:styleId="Style2">
    <w:name w:val="Style 2"/>
    <w:basedOn w:val="a"/>
    <w:link w:val="CharStyle3"/>
    <w:uiPriority w:val="99"/>
    <w:rsid w:val="00C82240"/>
    <w:pPr>
      <w:widowControl w:val="0"/>
      <w:shd w:val="clear" w:color="auto" w:fill="FFFFFF"/>
      <w:spacing w:after="300" w:line="240" w:lineRule="atLeast"/>
      <w:jc w:val="center"/>
    </w:pPr>
    <w:rPr>
      <w:sz w:val="26"/>
      <w:szCs w:val="26"/>
    </w:rPr>
  </w:style>
  <w:style w:type="paragraph" w:customStyle="1" w:styleId="GuideBody">
    <w:name w:val="Guide Body"/>
    <w:basedOn w:val="a"/>
    <w:qFormat/>
    <w:locked/>
    <w:rsid w:val="00C82240"/>
    <w:pPr>
      <w:spacing w:before="240" w:after="0" w:line="240" w:lineRule="auto"/>
      <w:jc w:val="both"/>
    </w:pPr>
    <w:rPr>
      <w:rFonts w:ascii="Arial" w:eastAsia="MS Mincho" w:hAnsi="Arial" w:cs="Arial"/>
      <w:snapToGrid w:val="0"/>
      <w:sz w:val="24"/>
      <w:szCs w:val="24"/>
      <w:lang w:val="en-US"/>
    </w:rPr>
  </w:style>
  <w:style w:type="table" w:customStyle="1" w:styleId="2">
    <w:name w:val="Сетка таблицы2"/>
    <w:basedOn w:val="a1"/>
    <w:next w:val="a7"/>
    <w:rsid w:val="00C82240"/>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C82240"/>
  </w:style>
  <w:style w:type="paragraph" w:styleId="af2">
    <w:name w:val="Body Text"/>
    <w:basedOn w:val="a"/>
    <w:link w:val="af3"/>
    <w:rsid w:val="00C82240"/>
    <w:pPr>
      <w:spacing w:after="0" w:line="240" w:lineRule="auto"/>
    </w:pPr>
    <w:rPr>
      <w:rFonts w:ascii="Times New Roman" w:eastAsia="Times New Roman" w:hAnsi="Times New Roman" w:cs="Times New Roman"/>
      <w:sz w:val="28"/>
      <w:szCs w:val="24"/>
      <w:lang w:eastAsia="ru-RU"/>
    </w:rPr>
  </w:style>
  <w:style w:type="character" w:customStyle="1" w:styleId="af3">
    <w:name w:val="Основной текст Знак"/>
    <w:basedOn w:val="a0"/>
    <w:link w:val="af2"/>
    <w:rsid w:val="00C82240"/>
    <w:rPr>
      <w:rFonts w:ascii="Times New Roman" w:eastAsia="Times New Roman" w:hAnsi="Times New Roman" w:cs="Times New Roman"/>
      <w:sz w:val="28"/>
      <w:szCs w:val="24"/>
      <w:lang w:eastAsia="ru-RU"/>
    </w:rPr>
  </w:style>
  <w:style w:type="paragraph" w:styleId="3">
    <w:name w:val="Body Text 3"/>
    <w:basedOn w:val="a"/>
    <w:link w:val="30"/>
    <w:rsid w:val="00C82240"/>
    <w:pPr>
      <w:spacing w:after="0" w:line="240" w:lineRule="auto"/>
      <w:jc w:val="both"/>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rsid w:val="00C82240"/>
    <w:rPr>
      <w:rFonts w:ascii="Times New Roman" w:eastAsia="Times New Roman" w:hAnsi="Times New Roman" w:cs="Times New Roman"/>
      <w:sz w:val="24"/>
      <w:szCs w:val="24"/>
      <w:lang w:eastAsia="ru-RU"/>
    </w:rPr>
  </w:style>
  <w:style w:type="table" w:customStyle="1" w:styleId="31">
    <w:name w:val="Сетка таблицы3"/>
    <w:basedOn w:val="a1"/>
    <w:next w:val="a7"/>
    <w:uiPriority w:val="59"/>
    <w:rsid w:val="00C822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rsid w:val="00C82240"/>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rsid w:val="00C82240"/>
    <w:rPr>
      <w:rFonts w:ascii="Times New Roman" w:eastAsia="Times New Roman" w:hAnsi="Times New Roman" w:cs="Times New Roman"/>
      <w:sz w:val="20"/>
      <w:szCs w:val="20"/>
      <w:lang w:eastAsia="ru-RU"/>
    </w:rPr>
  </w:style>
  <w:style w:type="paragraph" w:styleId="af6">
    <w:name w:val="Plain Text"/>
    <w:basedOn w:val="a"/>
    <w:link w:val="af7"/>
    <w:rsid w:val="00C82240"/>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C82240"/>
    <w:rPr>
      <w:rFonts w:ascii="Courier New" w:eastAsia="Times New Roman" w:hAnsi="Courier New" w:cs="Courier New"/>
      <w:sz w:val="20"/>
      <w:szCs w:val="20"/>
      <w:lang w:eastAsia="ru-RU"/>
    </w:rPr>
  </w:style>
  <w:style w:type="character" w:customStyle="1" w:styleId="CharStyle8">
    <w:name w:val="Char Style 8"/>
    <w:basedOn w:val="a0"/>
    <w:link w:val="Style7"/>
    <w:uiPriority w:val="99"/>
    <w:rsid w:val="00C82240"/>
    <w:rPr>
      <w:sz w:val="26"/>
      <w:szCs w:val="26"/>
      <w:shd w:val="clear" w:color="auto" w:fill="FFFFFF"/>
    </w:rPr>
  </w:style>
  <w:style w:type="paragraph" w:customStyle="1" w:styleId="Style7">
    <w:name w:val="Style 7"/>
    <w:basedOn w:val="a"/>
    <w:link w:val="CharStyle8"/>
    <w:uiPriority w:val="99"/>
    <w:rsid w:val="00C82240"/>
    <w:pPr>
      <w:widowControl w:val="0"/>
      <w:shd w:val="clear" w:color="auto" w:fill="FFFFFF"/>
      <w:spacing w:after="0" w:line="324" w:lineRule="exact"/>
      <w:jc w:val="both"/>
    </w:pPr>
    <w:rPr>
      <w:sz w:val="26"/>
      <w:szCs w:val="26"/>
    </w:rPr>
  </w:style>
  <w:style w:type="character" w:customStyle="1" w:styleId="CharStyle32">
    <w:name w:val="Char Style 32"/>
    <w:basedOn w:val="a0"/>
    <w:link w:val="Style31"/>
    <w:uiPriority w:val="99"/>
    <w:rsid w:val="00C82240"/>
    <w:rPr>
      <w:sz w:val="21"/>
      <w:szCs w:val="21"/>
      <w:shd w:val="clear" w:color="auto" w:fill="FFFFFF"/>
    </w:rPr>
  </w:style>
  <w:style w:type="paragraph" w:customStyle="1" w:styleId="Style31">
    <w:name w:val="Style 31"/>
    <w:basedOn w:val="a"/>
    <w:link w:val="CharStyle32"/>
    <w:uiPriority w:val="99"/>
    <w:rsid w:val="00C82240"/>
    <w:pPr>
      <w:widowControl w:val="0"/>
      <w:shd w:val="clear" w:color="auto" w:fill="FFFFFF"/>
      <w:spacing w:before="300" w:after="960" w:line="240" w:lineRule="atLeast"/>
      <w:jc w:val="center"/>
    </w:pPr>
    <w:rPr>
      <w:sz w:val="21"/>
      <w:szCs w:val="21"/>
    </w:rPr>
  </w:style>
  <w:style w:type="character" w:styleId="af8">
    <w:name w:val="Strong"/>
    <w:basedOn w:val="a0"/>
    <w:uiPriority w:val="22"/>
    <w:qFormat/>
    <w:rsid w:val="00C822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A0D6C33DB3E9055D99298848D021E72419A8DCBF5F8B0BC005B0E3840E4839D4ADFF6F4B78EE10700259EFCA0B808F43193CB0B682E6CAn8V5Q" TargetMode="External"/><Relationship Id="rId13" Type="http://schemas.openxmlformats.org/officeDocument/2006/relationships/hyperlink" Target="consultantplus://offline/ref=3FA0D6C33DB3E9055D99298848D021E72419A8DCBF5F8B0BC005B0E3840E4839D4ADFF6F4B78EE10700259EFCA0B808F43193CB0B682E6CAn8V5Q"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ED1FA2D958B3E1B3A2B67917DEB83BD1941E60AE87BAF65330185D409A81FDCF6C73028639775B8w9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FA0D6C33DB3E9055D99298848D021E72419A8DCBF5F8B0BC005B0E3840E4839D4ADFF6F4B78EE10700259EFCA0B808F43193CB0B682E6CAn8V5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FA0D6C33DB3E9055D99298848D021E72419A8DCBF5F8B0BC005B0E3840E4839D4ADFF6F4B78EE10700259EFCA0B808F43193CB0B682E6CAn8V5Q" TargetMode="External"/><Relationship Id="rId4" Type="http://schemas.openxmlformats.org/officeDocument/2006/relationships/settings" Target="settings.xml"/><Relationship Id="rId9" Type="http://schemas.openxmlformats.org/officeDocument/2006/relationships/hyperlink" Target="consultantplus://offline/ref=3FA0D6C33DB3E9055D99298848D021E72019ADDBB457D601C85CBCE18301172ED3E4F36E4B78EC15735D5CFADB538C895A073DAFAA80E7nCV2Q" TargetMode="External"/><Relationship Id="rId14" Type="http://schemas.openxmlformats.org/officeDocument/2006/relationships/hyperlink" Target="consultantplus://offline/ref=509D41C8F060BC5BC0A3277615FD4A4A1C79E1B64A7302C448B720C008B33203442D803126AB1AD964D7EBA9CBMDn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1841</Words>
  <Characters>10499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ГРИШАНИНА АННА ВЛАДИМИРОВНА</cp:lastModifiedBy>
  <cp:revision>24</cp:revision>
  <cp:lastPrinted>2019-03-28T08:29:00Z</cp:lastPrinted>
  <dcterms:created xsi:type="dcterms:W3CDTF">2018-01-26T10:28:00Z</dcterms:created>
  <dcterms:modified xsi:type="dcterms:W3CDTF">2019-03-29T13:31:00Z</dcterms:modified>
</cp:coreProperties>
</file>