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30E74A42" wp14:editId="34188943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56AD87" wp14:editId="144BD3E3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CC7A77" w:rsidRPr="00CC7A77" w:rsidRDefault="00CC7A77" w:rsidP="00FC172B">
      <w:pPr>
        <w:autoSpaceDE w:val="0"/>
        <w:autoSpaceDN w:val="0"/>
        <w:adjustRightInd w:val="0"/>
        <w:ind w:right="-1"/>
        <w:jc w:val="center"/>
        <w:rPr>
          <w:b/>
          <w:sz w:val="16"/>
          <w:szCs w:val="16"/>
        </w:rPr>
      </w:pPr>
    </w:p>
    <w:p w:rsidR="00890D7C" w:rsidRPr="00FC172B" w:rsidRDefault="00BF2A24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 xml:space="preserve">Протокол № </w:t>
      </w:r>
      <w:r w:rsidR="00F03F1E" w:rsidRPr="00FC172B">
        <w:rPr>
          <w:b/>
          <w:sz w:val="26"/>
          <w:szCs w:val="26"/>
        </w:rPr>
        <w:t>32</w:t>
      </w:r>
      <w:r w:rsidR="0027264F">
        <w:rPr>
          <w:b/>
          <w:sz w:val="26"/>
          <w:szCs w:val="26"/>
        </w:rPr>
        <w:t>7</w:t>
      </w:r>
    </w:p>
    <w:p w:rsidR="00890D7C" w:rsidRPr="00FC172B" w:rsidRDefault="00890D7C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заседания Правления</w:t>
      </w:r>
    </w:p>
    <w:p w:rsidR="003A256F" w:rsidRPr="00FC172B" w:rsidRDefault="003A256F" w:rsidP="00FC172B">
      <w:pPr>
        <w:ind w:right="-1"/>
        <w:jc w:val="center"/>
        <w:outlineLvl w:val="0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Саморегулируемой организации аудиторов</w:t>
      </w:r>
    </w:p>
    <w:p w:rsidR="006A67A0" w:rsidRDefault="003A256F" w:rsidP="00CC7A77">
      <w:pPr>
        <w:ind w:right="-1"/>
        <w:jc w:val="center"/>
        <w:outlineLvl w:val="0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АССОЦИАЦИЯ «СОДРУЖЕСТВО» (СРО ААС)</w:t>
      </w:r>
    </w:p>
    <w:p w:rsidR="00CC7A77" w:rsidRPr="00CC7A77" w:rsidRDefault="00CC7A77" w:rsidP="00CC7A77">
      <w:pPr>
        <w:ind w:right="-1"/>
        <w:jc w:val="center"/>
        <w:outlineLvl w:val="0"/>
        <w:rPr>
          <w:b/>
          <w:sz w:val="16"/>
          <w:szCs w:val="16"/>
        </w:rPr>
      </w:pPr>
    </w:p>
    <w:p w:rsidR="00596ADA" w:rsidRPr="00FC172B" w:rsidRDefault="000A3FEE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FC172B">
        <w:rPr>
          <w:sz w:val="26"/>
          <w:szCs w:val="26"/>
        </w:rPr>
        <w:t xml:space="preserve">г. Москва </w:t>
      </w:r>
      <w:r w:rsidRPr="00FC172B">
        <w:rPr>
          <w:sz w:val="26"/>
          <w:szCs w:val="26"/>
        </w:rPr>
        <w:tab/>
      </w:r>
      <w:r w:rsidRPr="00FC172B">
        <w:rPr>
          <w:sz w:val="26"/>
          <w:szCs w:val="26"/>
        </w:rPr>
        <w:tab/>
      </w:r>
      <w:r w:rsidRPr="00FC172B">
        <w:rPr>
          <w:sz w:val="26"/>
          <w:szCs w:val="26"/>
        </w:rPr>
        <w:tab/>
        <w:t xml:space="preserve">       </w:t>
      </w:r>
      <w:r w:rsidR="00AD6AF8" w:rsidRPr="00FC172B">
        <w:rPr>
          <w:sz w:val="26"/>
          <w:szCs w:val="26"/>
        </w:rPr>
        <w:t xml:space="preserve">                      </w:t>
      </w:r>
      <w:r w:rsidR="00AD6AF8" w:rsidRPr="00FC172B">
        <w:rPr>
          <w:sz w:val="26"/>
          <w:szCs w:val="26"/>
        </w:rPr>
        <w:tab/>
      </w:r>
      <w:r w:rsidR="00AD6AF8" w:rsidRPr="00FC172B">
        <w:rPr>
          <w:sz w:val="26"/>
          <w:szCs w:val="26"/>
        </w:rPr>
        <w:tab/>
      </w:r>
      <w:r w:rsidR="00AD6AF8" w:rsidRPr="00FC172B">
        <w:rPr>
          <w:sz w:val="26"/>
          <w:szCs w:val="26"/>
        </w:rPr>
        <w:tab/>
        <w:t xml:space="preserve"> </w:t>
      </w:r>
      <w:r w:rsidRPr="00FC172B">
        <w:rPr>
          <w:sz w:val="26"/>
          <w:szCs w:val="26"/>
        </w:rPr>
        <w:t xml:space="preserve"> </w:t>
      </w:r>
      <w:r w:rsidR="00BF0A68" w:rsidRPr="00FC172B">
        <w:rPr>
          <w:sz w:val="26"/>
          <w:szCs w:val="26"/>
        </w:rPr>
        <w:t xml:space="preserve"> </w:t>
      </w:r>
      <w:r w:rsidR="00946195" w:rsidRPr="00FC172B">
        <w:rPr>
          <w:sz w:val="26"/>
          <w:szCs w:val="26"/>
        </w:rPr>
        <w:t xml:space="preserve"> </w:t>
      </w:r>
      <w:r w:rsidR="00873ACC" w:rsidRPr="00FC172B">
        <w:rPr>
          <w:sz w:val="26"/>
          <w:szCs w:val="26"/>
          <w:lang w:val="ru-RU"/>
        </w:rPr>
        <w:t xml:space="preserve"> </w:t>
      </w:r>
      <w:r w:rsidR="000961A0" w:rsidRPr="00FC172B">
        <w:rPr>
          <w:sz w:val="26"/>
          <w:szCs w:val="26"/>
          <w:lang w:val="ru-RU"/>
        </w:rPr>
        <w:t xml:space="preserve"> </w:t>
      </w:r>
      <w:r w:rsidR="00514DFB" w:rsidRPr="00FC172B">
        <w:rPr>
          <w:sz w:val="26"/>
          <w:szCs w:val="26"/>
          <w:lang w:val="ru-RU"/>
        </w:rPr>
        <w:t xml:space="preserve">     </w:t>
      </w:r>
      <w:r w:rsidR="008E4BC1" w:rsidRPr="00FC172B">
        <w:rPr>
          <w:sz w:val="26"/>
          <w:szCs w:val="26"/>
          <w:lang w:val="ru-RU"/>
        </w:rPr>
        <w:t xml:space="preserve">   </w:t>
      </w:r>
      <w:r w:rsidR="00E31768" w:rsidRPr="00FC172B">
        <w:rPr>
          <w:sz w:val="26"/>
          <w:szCs w:val="26"/>
          <w:lang w:val="ru-RU"/>
        </w:rPr>
        <w:t xml:space="preserve">  </w:t>
      </w:r>
      <w:r w:rsidR="00E910C0" w:rsidRPr="00FC172B">
        <w:rPr>
          <w:sz w:val="26"/>
          <w:szCs w:val="26"/>
          <w:lang w:val="ru-RU"/>
        </w:rPr>
        <w:t xml:space="preserve">     </w:t>
      </w:r>
      <w:r w:rsidR="0027264F">
        <w:rPr>
          <w:sz w:val="26"/>
          <w:szCs w:val="26"/>
          <w:lang w:val="ru-RU"/>
        </w:rPr>
        <w:t xml:space="preserve">      29</w:t>
      </w:r>
      <w:r w:rsidR="00E13941" w:rsidRPr="00FC172B">
        <w:rPr>
          <w:sz w:val="26"/>
          <w:szCs w:val="26"/>
          <w:lang w:val="ru-RU"/>
        </w:rPr>
        <w:t xml:space="preserve"> </w:t>
      </w:r>
      <w:r w:rsidR="00996F69">
        <w:rPr>
          <w:sz w:val="26"/>
          <w:szCs w:val="26"/>
          <w:lang w:val="ru-RU"/>
        </w:rPr>
        <w:t>августа</w:t>
      </w:r>
      <w:r w:rsidR="00E85FC6" w:rsidRPr="00FC172B">
        <w:rPr>
          <w:sz w:val="26"/>
          <w:szCs w:val="26"/>
          <w:lang w:val="ru-RU"/>
        </w:rPr>
        <w:t xml:space="preserve"> 2017 г</w:t>
      </w:r>
      <w:r w:rsidR="00AB4CE4" w:rsidRPr="00FC172B">
        <w:rPr>
          <w:sz w:val="26"/>
          <w:szCs w:val="26"/>
          <w:lang w:val="ru-RU"/>
        </w:rPr>
        <w:t>.</w:t>
      </w:r>
    </w:p>
    <w:p w:rsidR="00E85FC6" w:rsidRPr="00CC7A77" w:rsidRDefault="00E85FC6" w:rsidP="00FC172B">
      <w:pPr>
        <w:pStyle w:val="a4"/>
        <w:spacing w:after="0"/>
        <w:ind w:right="-1"/>
        <w:jc w:val="both"/>
        <w:rPr>
          <w:b/>
          <w:sz w:val="16"/>
          <w:szCs w:val="16"/>
        </w:rPr>
      </w:pPr>
    </w:p>
    <w:p w:rsidR="003566FC" w:rsidRPr="00FC172B" w:rsidRDefault="003566FC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Голосовали:</w:t>
      </w:r>
    </w:p>
    <w:p w:rsidR="005654C7" w:rsidRPr="00FC172B" w:rsidRDefault="005654C7" w:rsidP="00FC172B">
      <w:pPr>
        <w:pStyle w:val="a4"/>
        <w:spacing w:after="0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Члены Правления </w:t>
      </w:r>
      <w:r w:rsidRPr="00FC172B">
        <w:rPr>
          <w:sz w:val="26"/>
          <w:szCs w:val="26"/>
          <w:lang w:val="ru-RU"/>
        </w:rPr>
        <w:t>СРО</w:t>
      </w:r>
      <w:r w:rsidRPr="00FC172B">
        <w:rPr>
          <w:sz w:val="26"/>
          <w:szCs w:val="26"/>
        </w:rPr>
        <w:t xml:space="preserve"> ААС:</w:t>
      </w:r>
    </w:p>
    <w:p w:rsidR="005654C7" w:rsidRPr="00FC172B" w:rsidRDefault="0027264F" w:rsidP="00FC172B">
      <w:pPr>
        <w:pStyle w:val="a4"/>
        <w:spacing w:after="0"/>
        <w:ind w:right="-1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Бутовский В.В., </w:t>
      </w:r>
      <w:r w:rsidR="00DC5790" w:rsidRPr="00FC172B">
        <w:rPr>
          <w:sz w:val="26"/>
          <w:szCs w:val="26"/>
          <w:lang w:val="ru-RU" w:eastAsia="ru-RU"/>
        </w:rPr>
        <w:t>Голенко В.С.,</w:t>
      </w:r>
      <w:r w:rsidR="00213E8F" w:rsidRPr="00FC172B">
        <w:rPr>
          <w:sz w:val="26"/>
          <w:szCs w:val="26"/>
          <w:lang w:val="ru-RU" w:eastAsia="ru-RU"/>
        </w:rPr>
        <w:t xml:space="preserve"> </w:t>
      </w:r>
      <w:r w:rsidR="00935DEC">
        <w:rPr>
          <w:sz w:val="26"/>
          <w:szCs w:val="26"/>
          <w:lang w:val="ru-RU" w:eastAsia="ru-RU"/>
        </w:rPr>
        <w:t xml:space="preserve">Гузов Ю.Н., </w:t>
      </w:r>
      <w:r w:rsidR="00CC7A77">
        <w:rPr>
          <w:sz w:val="26"/>
          <w:szCs w:val="26"/>
          <w:lang w:val="ru-RU" w:eastAsia="ru-RU"/>
        </w:rPr>
        <w:t>Желтяков Д.В.,</w:t>
      </w:r>
      <w:r w:rsidR="00E13941" w:rsidRPr="00FC172B">
        <w:rPr>
          <w:sz w:val="26"/>
          <w:szCs w:val="26"/>
          <w:lang w:val="ru-RU" w:eastAsia="ru-RU"/>
        </w:rPr>
        <w:t xml:space="preserve"> </w:t>
      </w:r>
      <w:r w:rsidR="0012017E">
        <w:rPr>
          <w:sz w:val="26"/>
          <w:szCs w:val="26"/>
          <w:lang w:val="ru-RU" w:eastAsia="ru-RU"/>
        </w:rPr>
        <w:t xml:space="preserve">Жуков С.П., </w:t>
      </w:r>
      <w:r w:rsidR="00BC2268">
        <w:rPr>
          <w:sz w:val="26"/>
          <w:szCs w:val="26"/>
          <w:lang w:val="ru-RU" w:eastAsia="ru-RU"/>
        </w:rPr>
        <w:t xml:space="preserve">Задубровская А.В., </w:t>
      </w:r>
      <w:r w:rsidR="0018197D" w:rsidRPr="00FC172B">
        <w:rPr>
          <w:sz w:val="26"/>
          <w:szCs w:val="26"/>
          <w:lang w:val="ru-RU" w:eastAsia="ru-RU"/>
        </w:rPr>
        <w:t xml:space="preserve">Кобозева Н.В., </w:t>
      </w:r>
      <w:r w:rsidR="00165716" w:rsidRPr="00FC172B">
        <w:rPr>
          <w:sz w:val="26"/>
          <w:szCs w:val="26"/>
          <w:lang w:val="ru-RU" w:eastAsia="ru-RU"/>
        </w:rPr>
        <w:t xml:space="preserve">Константинова И.Г., </w:t>
      </w:r>
      <w:r w:rsidR="0012017E">
        <w:rPr>
          <w:sz w:val="26"/>
          <w:szCs w:val="26"/>
          <w:lang w:val="ru-RU" w:eastAsia="ru-RU"/>
        </w:rPr>
        <w:t xml:space="preserve">Кромин А.Ю., </w:t>
      </w:r>
      <w:r w:rsidR="00CC7A77">
        <w:rPr>
          <w:sz w:val="26"/>
          <w:szCs w:val="26"/>
          <w:lang w:val="ru-RU" w:eastAsia="ru-RU"/>
        </w:rPr>
        <w:t xml:space="preserve">Лимаренко Д.Н., </w:t>
      </w:r>
      <w:r>
        <w:rPr>
          <w:sz w:val="26"/>
          <w:szCs w:val="26"/>
          <w:lang w:val="ru-RU" w:eastAsia="ru-RU"/>
        </w:rPr>
        <w:t xml:space="preserve">Малофеева Н.А., </w:t>
      </w:r>
      <w:r w:rsidR="00CC7A77">
        <w:rPr>
          <w:sz w:val="26"/>
          <w:szCs w:val="26"/>
          <w:lang w:val="ru-RU" w:eastAsia="ru-RU"/>
        </w:rPr>
        <w:t xml:space="preserve">Мелентьева В.И., Михайлович Т.Н., </w:t>
      </w:r>
      <w:r>
        <w:rPr>
          <w:sz w:val="26"/>
          <w:szCs w:val="26"/>
          <w:lang w:val="ru-RU" w:eastAsia="ru-RU"/>
        </w:rPr>
        <w:t xml:space="preserve">Новокрещенова Л.Г., </w:t>
      </w:r>
      <w:r w:rsidR="005654C7" w:rsidRPr="00FC172B">
        <w:rPr>
          <w:sz w:val="26"/>
          <w:szCs w:val="26"/>
          <w:lang w:val="ru-RU" w:eastAsia="ru-RU"/>
        </w:rPr>
        <w:t>Носова О.А.,</w:t>
      </w:r>
      <w:r w:rsidR="00295438" w:rsidRPr="00FC172B">
        <w:rPr>
          <w:sz w:val="26"/>
          <w:szCs w:val="26"/>
          <w:lang w:val="ru-RU" w:eastAsia="ru-RU"/>
        </w:rPr>
        <w:t xml:space="preserve"> </w:t>
      </w:r>
      <w:r w:rsidR="009E0E9F">
        <w:rPr>
          <w:sz w:val="26"/>
          <w:szCs w:val="26"/>
          <w:lang w:val="ru-RU" w:eastAsia="ru-RU"/>
        </w:rPr>
        <w:t xml:space="preserve">Овакимян А.Д., Рукин В.В., </w:t>
      </w:r>
      <w:r w:rsidR="00157E59" w:rsidRPr="00FC172B">
        <w:rPr>
          <w:sz w:val="26"/>
          <w:szCs w:val="26"/>
          <w:lang w:val="ru-RU" w:eastAsia="ru-RU"/>
        </w:rPr>
        <w:t xml:space="preserve">Рыбенко Г.А., </w:t>
      </w:r>
      <w:r w:rsidR="00CC7A77">
        <w:rPr>
          <w:sz w:val="26"/>
          <w:szCs w:val="26"/>
          <w:lang w:val="ru-RU" w:eastAsia="ru-RU"/>
        </w:rPr>
        <w:t>Симаков</w:t>
      </w:r>
      <w:r w:rsidR="0012017E">
        <w:rPr>
          <w:sz w:val="26"/>
          <w:szCs w:val="26"/>
          <w:lang w:val="ru-RU" w:eastAsia="ru-RU"/>
        </w:rPr>
        <w:t>а</w:t>
      </w:r>
      <w:r w:rsidR="00CC7A77">
        <w:rPr>
          <w:sz w:val="26"/>
          <w:szCs w:val="26"/>
          <w:lang w:val="ru-RU" w:eastAsia="ru-RU"/>
        </w:rPr>
        <w:t xml:space="preserve"> М.Ю., </w:t>
      </w:r>
      <w:r>
        <w:rPr>
          <w:sz w:val="26"/>
          <w:szCs w:val="26"/>
          <w:lang w:val="ru-RU" w:eastAsia="ru-RU"/>
        </w:rPr>
        <w:t xml:space="preserve">Старовойтова Е.В., </w:t>
      </w:r>
      <w:r w:rsidR="00CC7A77">
        <w:rPr>
          <w:sz w:val="26"/>
          <w:szCs w:val="26"/>
          <w:lang w:val="ru-RU" w:eastAsia="ru-RU"/>
        </w:rPr>
        <w:t xml:space="preserve">Сюткина М.Г., </w:t>
      </w:r>
      <w:r>
        <w:rPr>
          <w:sz w:val="26"/>
          <w:szCs w:val="26"/>
          <w:lang w:val="ru-RU" w:eastAsia="ru-RU"/>
        </w:rPr>
        <w:t xml:space="preserve">Филипьев Д.Ю., </w:t>
      </w:r>
      <w:r w:rsidR="00935DEC">
        <w:rPr>
          <w:sz w:val="26"/>
          <w:szCs w:val="26"/>
          <w:lang w:val="ru-RU" w:eastAsia="ru-RU"/>
        </w:rPr>
        <w:t xml:space="preserve">Чая В.Т., </w:t>
      </w:r>
      <w:r>
        <w:rPr>
          <w:sz w:val="26"/>
          <w:szCs w:val="26"/>
          <w:lang w:val="ru-RU" w:eastAsia="ru-RU"/>
        </w:rPr>
        <w:t xml:space="preserve">Чепик Н.А., </w:t>
      </w:r>
      <w:r w:rsidR="005654C7" w:rsidRPr="00FC172B">
        <w:rPr>
          <w:sz w:val="26"/>
          <w:szCs w:val="26"/>
          <w:lang w:val="ru-RU" w:eastAsia="ru-RU"/>
        </w:rPr>
        <w:t>Черкасова Н.В., Шеремет А.Д.</w:t>
      </w:r>
      <w:r w:rsidR="00CC7A77">
        <w:rPr>
          <w:sz w:val="26"/>
          <w:szCs w:val="26"/>
          <w:lang w:val="ru-RU" w:eastAsia="ru-RU"/>
        </w:rPr>
        <w:t>, Щепотьев А.В.</w:t>
      </w:r>
    </w:p>
    <w:p w:rsidR="003A7214" w:rsidRPr="00CC7A77" w:rsidRDefault="003A7214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D6511D" w:rsidRPr="00FC172B" w:rsidRDefault="009C2FA9" w:rsidP="00FC172B">
      <w:pPr>
        <w:ind w:right="-1"/>
        <w:jc w:val="both"/>
        <w:rPr>
          <w:bCs/>
          <w:sz w:val="26"/>
          <w:szCs w:val="26"/>
        </w:rPr>
      </w:pPr>
      <w:r w:rsidRPr="00FC172B">
        <w:rPr>
          <w:bCs/>
          <w:sz w:val="26"/>
          <w:szCs w:val="26"/>
        </w:rPr>
        <w:t>Итого в голосовании на заседании Прав</w:t>
      </w:r>
      <w:r w:rsidR="0012017E">
        <w:rPr>
          <w:bCs/>
          <w:sz w:val="26"/>
          <w:szCs w:val="26"/>
        </w:rPr>
        <w:t>ления СРО ААС приняло участие 28</w:t>
      </w:r>
      <w:r w:rsidRPr="00FC172B">
        <w:rPr>
          <w:bCs/>
          <w:sz w:val="26"/>
          <w:szCs w:val="26"/>
        </w:rPr>
        <w:t xml:space="preserve"> </w:t>
      </w:r>
      <w:r w:rsidR="009E0E9F">
        <w:rPr>
          <w:bCs/>
          <w:sz w:val="26"/>
          <w:szCs w:val="26"/>
        </w:rPr>
        <w:t>из</w:t>
      </w:r>
      <w:r w:rsidR="00935DEC">
        <w:rPr>
          <w:bCs/>
          <w:sz w:val="26"/>
          <w:szCs w:val="26"/>
        </w:rPr>
        <w:t xml:space="preserve"> 47 человек, что составляет 6</w:t>
      </w:r>
      <w:r w:rsidR="0012017E">
        <w:rPr>
          <w:bCs/>
          <w:sz w:val="26"/>
          <w:szCs w:val="26"/>
        </w:rPr>
        <w:t>0</w:t>
      </w:r>
      <w:r w:rsidRPr="00FC172B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CC7A77" w:rsidRDefault="005A15D1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5A15D1" w:rsidRPr="00FC172B" w:rsidRDefault="005A15D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Форма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– заочная.</w:t>
      </w:r>
    </w:p>
    <w:p w:rsidR="005A15D1" w:rsidRPr="00CC7A77" w:rsidRDefault="005A15D1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5A15D1" w:rsidRPr="00FC172B" w:rsidRDefault="00812DB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Документы, </w:t>
      </w:r>
      <w:r w:rsidR="005A15D1" w:rsidRPr="00FC172B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FC172B">
        <w:rPr>
          <w:sz w:val="26"/>
          <w:szCs w:val="26"/>
        </w:rPr>
        <w:t>СРО</w:t>
      </w:r>
      <w:r w:rsidR="005A15D1" w:rsidRPr="00FC172B">
        <w:rPr>
          <w:sz w:val="26"/>
          <w:szCs w:val="26"/>
        </w:rPr>
        <w:t xml:space="preserve"> ААС, принимались до </w:t>
      </w:r>
      <w:r w:rsidR="0027264F">
        <w:rPr>
          <w:sz w:val="26"/>
          <w:szCs w:val="26"/>
        </w:rPr>
        <w:t>29</w:t>
      </w:r>
      <w:r w:rsidR="00E93A89" w:rsidRPr="00FC172B">
        <w:rPr>
          <w:sz w:val="26"/>
          <w:szCs w:val="26"/>
        </w:rPr>
        <w:t xml:space="preserve"> </w:t>
      </w:r>
      <w:r w:rsidR="00996F69">
        <w:rPr>
          <w:sz w:val="26"/>
          <w:szCs w:val="26"/>
        </w:rPr>
        <w:t>августа</w:t>
      </w:r>
      <w:r w:rsidR="00E93A89" w:rsidRPr="00FC172B">
        <w:rPr>
          <w:sz w:val="26"/>
          <w:szCs w:val="26"/>
        </w:rPr>
        <w:t xml:space="preserve"> </w:t>
      </w:r>
      <w:r w:rsidR="00E85FC6" w:rsidRPr="00FC172B">
        <w:rPr>
          <w:sz w:val="26"/>
          <w:szCs w:val="26"/>
        </w:rPr>
        <w:t>2017</w:t>
      </w:r>
      <w:r w:rsidR="005A15D1" w:rsidRPr="00FC172B">
        <w:rPr>
          <w:sz w:val="26"/>
          <w:szCs w:val="26"/>
        </w:rPr>
        <w:t xml:space="preserve"> года.</w:t>
      </w:r>
    </w:p>
    <w:p w:rsidR="001E2E66" w:rsidRPr="00FC172B" w:rsidRDefault="001E2E66" w:rsidP="00FC172B">
      <w:pPr>
        <w:shd w:val="clear" w:color="auto" w:fill="FFFFFF"/>
        <w:ind w:right="-1"/>
        <w:jc w:val="both"/>
        <w:rPr>
          <w:sz w:val="26"/>
          <w:szCs w:val="26"/>
        </w:rPr>
      </w:pPr>
    </w:p>
    <w:p w:rsidR="007E7859" w:rsidRPr="00FC172B" w:rsidRDefault="00610723" w:rsidP="00FC172B">
      <w:pPr>
        <w:ind w:right="-1"/>
        <w:jc w:val="both"/>
        <w:rPr>
          <w:b/>
          <w:bCs/>
          <w:sz w:val="26"/>
          <w:szCs w:val="26"/>
        </w:rPr>
      </w:pPr>
      <w:r w:rsidRPr="00FC172B">
        <w:rPr>
          <w:b/>
          <w:bCs/>
          <w:sz w:val="26"/>
          <w:szCs w:val="26"/>
        </w:rPr>
        <w:t>ПОВЕСТКА ДНЯ:</w:t>
      </w:r>
    </w:p>
    <w:p w:rsidR="0027264F" w:rsidRPr="0027264F" w:rsidRDefault="0027264F" w:rsidP="0027264F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27264F">
        <w:rPr>
          <w:sz w:val="26"/>
          <w:szCs w:val="26"/>
        </w:rPr>
        <w:t>О выдаче квалификационных аттестатов аудитора.</w:t>
      </w:r>
    </w:p>
    <w:p w:rsidR="00157E59" w:rsidRPr="0027264F" w:rsidRDefault="00576FBD" w:rsidP="00FC172B">
      <w:pPr>
        <w:numPr>
          <w:ilvl w:val="0"/>
          <w:numId w:val="1"/>
        </w:numPr>
        <w:ind w:right="-1"/>
        <w:jc w:val="both"/>
        <w:rPr>
          <w:b/>
          <w:sz w:val="26"/>
          <w:szCs w:val="26"/>
        </w:rPr>
      </w:pPr>
      <w:r w:rsidRPr="00FC172B">
        <w:rPr>
          <w:sz w:val="26"/>
          <w:szCs w:val="26"/>
        </w:rPr>
        <w:t>О приеме в члены СРО ААС.</w:t>
      </w:r>
    </w:p>
    <w:p w:rsidR="0027264F" w:rsidRPr="0027264F" w:rsidRDefault="0027264F" w:rsidP="0027264F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27264F">
        <w:rPr>
          <w:sz w:val="26"/>
          <w:szCs w:val="26"/>
        </w:rPr>
        <w:t>О смене статуса члена СРО ААС.</w:t>
      </w:r>
    </w:p>
    <w:p w:rsidR="00935DEC" w:rsidRPr="0012017E" w:rsidRDefault="0012017E" w:rsidP="0012017E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12017E">
        <w:rPr>
          <w:sz w:val="26"/>
          <w:szCs w:val="26"/>
        </w:rPr>
        <w:t>О приостановлении членства в СРО ААС</w:t>
      </w:r>
      <w:r w:rsidR="00CC7A77">
        <w:rPr>
          <w:sz w:val="26"/>
          <w:szCs w:val="26"/>
        </w:rPr>
        <w:t>.</w:t>
      </w:r>
    </w:p>
    <w:p w:rsidR="009E0E9F" w:rsidRDefault="00CC7A77" w:rsidP="00CC7A77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CC7A77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27264F" w:rsidRDefault="0027264F" w:rsidP="0027264F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27264F">
        <w:rPr>
          <w:sz w:val="26"/>
          <w:szCs w:val="26"/>
        </w:rPr>
        <w:t>О внесении образовательных организаций в Реестр УМЦ СРО ААС</w:t>
      </w:r>
      <w:r>
        <w:rPr>
          <w:sz w:val="26"/>
          <w:szCs w:val="26"/>
        </w:rPr>
        <w:t>.</w:t>
      </w:r>
    </w:p>
    <w:p w:rsidR="0027264F" w:rsidRDefault="0027264F" w:rsidP="0027264F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27264F">
        <w:rPr>
          <w:sz w:val="26"/>
          <w:szCs w:val="26"/>
        </w:rPr>
        <w:t>Об утверждении программы ПК аудиторов</w:t>
      </w:r>
      <w:r>
        <w:rPr>
          <w:sz w:val="26"/>
          <w:szCs w:val="26"/>
        </w:rPr>
        <w:t>.</w:t>
      </w:r>
    </w:p>
    <w:p w:rsidR="0027264F" w:rsidRPr="00996F69" w:rsidRDefault="0027264F" w:rsidP="0027264F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27264F">
        <w:rPr>
          <w:sz w:val="26"/>
          <w:szCs w:val="26"/>
        </w:rPr>
        <w:t>О дополнении в перечень программ повышения квалификации аудиторов</w:t>
      </w:r>
      <w:r>
        <w:rPr>
          <w:sz w:val="26"/>
          <w:szCs w:val="26"/>
        </w:rPr>
        <w:t>.</w:t>
      </w:r>
    </w:p>
    <w:p w:rsidR="00996F69" w:rsidRDefault="00996F69" w:rsidP="00FC172B">
      <w:pPr>
        <w:ind w:right="-1"/>
        <w:jc w:val="both"/>
        <w:rPr>
          <w:b/>
          <w:sz w:val="26"/>
          <w:szCs w:val="26"/>
        </w:rPr>
      </w:pPr>
    </w:p>
    <w:p w:rsidR="00610723" w:rsidRPr="00FC172B" w:rsidRDefault="00610723" w:rsidP="00FC172B">
      <w:pPr>
        <w:ind w:right="-1"/>
        <w:jc w:val="both"/>
        <w:rPr>
          <w:sz w:val="26"/>
          <w:szCs w:val="26"/>
        </w:rPr>
      </w:pPr>
      <w:r w:rsidRPr="00FC172B">
        <w:rPr>
          <w:b/>
          <w:sz w:val="26"/>
          <w:szCs w:val="26"/>
        </w:rPr>
        <w:t xml:space="preserve">Решили: </w:t>
      </w:r>
    </w:p>
    <w:p w:rsidR="00610723" w:rsidRPr="00FC172B" w:rsidRDefault="00610723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утвердить повестку дня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ААС.</w:t>
      </w:r>
    </w:p>
    <w:p w:rsidR="00610723" w:rsidRPr="00FC172B" w:rsidRDefault="00F7265A" w:rsidP="00FC172B">
      <w:pPr>
        <w:ind w:right="-1"/>
        <w:jc w:val="both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Решение принято единогласно</w:t>
      </w:r>
    </w:p>
    <w:p w:rsidR="00AB4CE4" w:rsidRPr="00FC172B" w:rsidRDefault="00AB4CE4" w:rsidP="00FC172B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27264F" w:rsidRPr="005E5880" w:rsidRDefault="0027264F" w:rsidP="0027264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E5880">
        <w:rPr>
          <w:b/>
          <w:i/>
          <w:sz w:val="26"/>
          <w:szCs w:val="26"/>
          <w:u w:val="single"/>
        </w:rPr>
        <w:t>По первому вопросу</w:t>
      </w:r>
    </w:p>
    <w:p w:rsidR="0027264F" w:rsidRPr="005E5880" w:rsidRDefault="0027264F" w:rsidP="0027264F">
      <w:pPr>
        <w:tabs>
          <w:tab w:val="left" w:pos="2880"/>
        </w:tabs>
        <w:ind w:right="-108"/>
        <w:jc w:val="both"/>
        <w:rPr>
          <w:b/>
          <w:sz w:val="26"/>
          <w:szCs w:val="26"/>
        </w:rPr>
      </w:pPr>
      <w:r w:rsidRPr="005E5880">
        <w:rPr>
          <w:b/>
          <w:sz w:val="26"/>
          <w:szCs w:val="26"/>
        </w:rPr>
        <w:t>О выдаче квалификационных аттестатов аудитора</w:t>
      </w:r>
    </w:p>
    <w:p w:rsidR="0027264F" w:rsidRPr="005E5880" w:rsidRDefault="0027264F" w:rsidP="0027264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7264F" w:rsidRPr="005E5880" w:rsidRDefault="0027264F" w:rsidP="0027264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E5880">
        <w:rPr>
          <w:b/>
          <w:sz w:val="26"/>
          <w:szCs w:val="26"/>
        </w:rPr>
        <w:t>Решили:</w:t>
      </w:r>
    </w:p>
    <w:p w:rsidR="0027264F" w:rsidRPr="00F72698" w:rsidRDefault="0027264F" w:rsidP="00F72698">
      <w:pPr>
        <w:jc w:val="both"/>
        <w:rPr>
          <w:sz w:val="26"/>
          <w:szCs w:val="26"/>
        </w:rPr>
      </w:pPr>
      <w:r w:rsidRPr="00F72698">
        <w:rPr>
          <w:sz w:val="26"/>
          <w:szCs w:val="26"/>
        </w:rPr>
        <w:t>1.1. Выдать квалификационный аттестат аудитора (для вновь ат</w:t>
      </w:r>
      <w:r w:rsidR="00F72698" w:rsidRPr="00F72698">
        <w:rPr>
          <w:sz w:val="26"/>
          <w:szCs w:val="26"/>
        </w:rPr>
        <w:t>тестуемых аудиторов) 1 аудитору.</w:t>
      </w:r>
    </w:p>
    <w:p w:rsidR="0027264F" w:rsidRPr="005E5880" w:rsidRDefault="0027264F" w:rsidP="002726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E5880">
        <w:rPr>
          <w:b/>
          <w:sz w:val="26"/>
          <w:szCs w:val="26"/>
        </w:rPr>
        <w:t>Решение принято единогласно</w:t>
      </w:r>
    </w:p>
    <w:p w:rsidR="0027264F" w:rsidRPr="005E5880" w:rsidRDefault="0027264F" w:rsidP="002726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27264F" w:rsidRPr="005E5880" w:rsidRDefault="0027264F" w:rsidP="0027264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E5880">
        <w:rPr>
          <w:b/>
          <w:i/>
          <w:sz w:val="26"/>
          <w:szCs w:val="26"/>
          <w:u w:val="single"/>
        </w:rPr>
        <w:t>По второму вопросу</w:t>
      </w:r>
    </w:p>
    <w:p w:rsidR="0027264F" w:rsidRPr="005E5880" w:rsidRDefault="0027264F" w:rsidP="0027264F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5E5880">
        <w:rPr>
          <w:b/>
          <w:sz w:val="26"/>
          <w:szCs w:val="26"/>
        </w:rPr>
        <w:lastRenderedPageBreak/>
        <w:t>О приеме в члены СРО ААС</w:t>
      </w:r>
    </w:p>
    <w:p w:rsidR="0027264F" w:rsidRPr="005E5880" w:rsidRDefault="0027264F" w:rsidP="0027264F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27264F" w:rsidRPr="005E5880" w:rsidRDefault="0027264F" w:rsidP="0027264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E5880">
        <w:rPr>
          <w:b/>
          <w:sz w:val="26"/>
          <w:szCs w:val="26"/>
        </w:rPr>
        <w:t>Решили:</w:t>
      </w:r>
    </w:p>
    <w:p w:rsidR="0027264F" w:rsidRPr="00F72698" w:rsidRDefault="0027264F" w:rsidP="0027264F">
      <w:pPr>
        <w:jc w:val="both"/>
        <w:rPr>
          <w:sz w:val="26"/>
          <w:szCs w:val="26"/>
        </w:rPr>
      </w:pPr>
      <w:r w:rsidRPr="00F72698">
        <w:rPr>
          <w:sz w:val="26"/>
          <w:szCs w:val="26"/>
        </w:rPr>
        <w:t xml:space="preserve">2.1. Принять в </w:t>
      </w:r>
      <w:r w:rsidR="00F72698" w:rsidRPr="00F72698">
        <w:rPr>
          <w:sz w:val="26"/>
          <w:szCs w:val="26"/>
        </w:rPr>
        <w:t>члены СРО ААС 5 аудиторов;</w:t>
      </w:r>
    </w:p>
    <w:p w:rsidR="0027264F" w:rsidRPr="00F72698" w:rsidRDefault="0027264F" w:rsidP="0027264F">
      <w:pPr>
        <w:jc w:val="both"/>
        <w:rPr>
          <w:sz w:val="26"/>
          <w:szCs w:val="26"/>
        </w:rPr>
      </w:pPr>
      <w:r w:rsidRPr="00F72698">
        <w:rPr>
          <w:sz w:val="26"/>
          <w:szCs w:val="26"/>
        </w:rPr>
        <w:t>2.2. Принять в члены СР</w:t>
      </w:r>
      <w:r w:rsidR="00F72698" w:rsidRPr="00F72698">
        <w:rPr>
          <w:sz w:val="26"/>
          <w:szCs w:val="26"/>
        </w:rPr>
        <w:t>О ААС 1 аудиторскую организацию.</w:t>
      </w:r>
    </w:p>
    <w:p w:rsidR="0027264F" w:rsidRPr="005E5880" w:rsidRDefault="0027264F" w:rsidP="002726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E5880">
        <w:rPr>
          <w:b/>
          <w:sz w:val="26"/>
          <w:szCs w:val="26"/>
        </w:rPr>
        <w:t>Решение принято единогласно</w:t>
      </w:r>
    </w:p>
    <w:p w:rsidR="0027264F" w:rsidRPr="005E5880" w:rsidRDefault="0027264F" w:rsidP="002726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27264F" w:rsidRPr="005E5880" w:rsidRDefault="0027264F" w:rsidP="0027264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E5880">
        <w:rPr>
          <w:b/>
          <w:i/>
          <w:sz w:val="26"/>
          <w:szCs w:val="26"/>
          <w:u w:val="single"/>
        </w:rPr>
        <w:t>По третьему вопросу</w:t>
      </w:r>
    </w:p>
    <w:p w:rsidR="0027264F" w:rsidRPr="005E5880" w:rsidRDefault="0027264F" w:rsidP="002726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E5880">
        <w:rPr>
          <w:b/>
          <w:sz w:val="26"/>
          <w:szCs w:val="26"/>
        </w:rPr>
        <w:t xml:space="preserve">О смене статуса члена СРО ААС </w:t>
      </w:r>
    </w:p>
    <w:p w:rsidR="0027264F" w:rsidRPr="005E5880" w:rsidRDefault="0027264F" w:rsidP="002726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27264F" w:rsidRPr="005E5880" w:rsidRDefault="0027264F" w:rsidP="002726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E5880">
        <w:rPr>
          <w:b/>
          <w:sz w:val="26"/>
          <w:szCs w:val="26"/>
        </w:rPr>
        <w:t>Решили:</w:t>
      </w:r>
    </w:p>
    <w:p w:rsidR="0027264F" w:rsidRPr="00F72698" w:rsidRDefault="0027264F" w:rsidP="0027264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72698">
        <w:rPr>
          <w:sz w:val="26"/>
          <w:szCs w:val="26"/>
        </w:rPr>
        <w:t>3.1. Сменить статус члена СРО ААС со статуса а</w:t>
      </w:r>
      <w:r w:rsidR="00F72698" w:rsidRPr="00F72698">
        <w:rPr>
          <w:sz w:val="26"/>
          <w:szCs w:val="26"/>
        </w:rPr>
        <w:t>удитора на статус ИП 1 аудитору.</w:t>
      </w:r>
    </w:p>
    <w:p w:rsidR="0027264F" w:rsidRPr="005E5880" w:rsidRDefault="0027264F" w:rsidP="002726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E5880">
        <w:rPr>
          <w:b/>
          <w:sz w:val="26"/>
          <w:szCs w:val="26"/>
        </w:rPr>
        <w:t>Решение принято единогласно</w:t>
      </w:r>
    </w:p>
    <w:p w:rsidR="0027264F" w:rsidRPr="005E5880" w:rsidRDefault="0027264F" w:rsidP="0027264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27264F" w:rsidRPr="005E5880" w:rsidRDefault="0027264F" w:rsidP="0027264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E5880">
        <w:rPr>
          <w:b/>
          <w:i/>
          <w:sz w:val="26"/>
          <w:szCs w:val="26"/>
          <w:u w:val="single"/>
        </w:rPr>
        <w:t>По четвертому вопросу</w:t>
      </w:r>
    </w:p>
    <w:p w:rsidR="0027264F" w:rsidRPr="005E5880" w:rsidRDefault="0027264F" w:rsidP="002726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E5880">
        <w:rPr>
          <w:b/>
          <w:sz w:val="26"/>
          <w:szCs w:val="26"/>
        </w:rPr>
        <w:t>О приостановлении членства в СРО ААС</w:t>
      </w:r>
    </w:p>
    <w:p w:rsidR="0027264F" w:rsidRPr="005E5880" w:rsidRDefault="0027264F" w:rsidP="002726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27264F" w:rsidRPr="005E5880" w:rsidRDefault="0027264F" w:rsidP="002726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E5880">
        <w:rPr>
          <w:b/>
          <w:sz w:val="26"/>
          <w:szCs w:val="26"/>
        </w:rPr>
        <w:t>Решили:</w:t>
      </w:r>
    </w:p>
    <w:p w:rsidR="0027264F" w:rsidRPr="005E5880" w:rsidRDefault="0027264F" w:rsidP="002726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F72698">
        <w:rPr>
          <w:rFonts w:eastAsiaTheme="minorHAnsi"/>
          <w:sz w:val="26"/>
          <w:szCs w:val="26"/>
          <w:lang w:eastAsia="en-US"/>
        </w:rPr>
        <w:t xml:space="preserve">4.1. </w:t>
      </w:r>
      <w:r w:rsidRPr="00F72698">
        <w:rPr>
          <w:sz w:val="26"/>
          <w:szCs w:val="26"/>
        </w:rPr>
        <w:t>Приостановить членство в СРО ААС 1 аудиторской организации на срок 180 календарных дней по Предписанию Управления Федерального казначейства по Республике Татарстан</w:t>
      </w:r>
      <w:r w:rsidR="00F72698">
        <w:rPr>
          <w:b/>
          <w:sz w:val="26"/>
          <w:szCs w:val="26"/>
        </w:rPr>
        <w:t>.</w:t>
      </w:r>
    </w:p>
    <w:p w:rsidR="0027264F" w:rsidRPr="005E5880" w:rsidRDefault="0027264F" w:rsidP="002726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E5880">
        <w:rPr>
          <w:b/>
          <w:sz w:val="26"/>
          <w:szCs w:val="26"/>
        </w:rPr>
        <w:t>Решение принято единогласно</w:t>
      </w:r>
    </w:p>
    <w:p w:rsidR="0027264F" w:rsidRPr="005E5880" w:rsidRDefault="0027264F" w:rsidP="002726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27264F" w:rsidRPr="005E5880" w:rsidRDefault="0027264F" w:rsidP="0027264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E5880">
        <w:rPr>
          <w:b/>
          <w:i/>
          <w:sz w:val="26"/>
          <w:szCs w:val="26"/>
          <w:u w:val="single"/>
        </w:rPr>
        <w:t>По пятому вопросу</w:t>
      </w:r>
    </w:p>
    <w:p w:rsidR="0027264F" w:rsidRPr="005E5880" w:rsidRDefault="0027264F" w:rsidP="002726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E5880">
        <w:rPr>
          <w:b/>
          <w:sz w:val="26"/>
          <w:szCs w:val="26"/>
        </w:rPr>
        <w:t>О прекращении членства в СРО ААС</w:t>
      </w:r>
    </w:p>
    <w:p w:rsidR="0027264F" w:rsidRPr="005E5880" w:rsidRDefault="0027264F" w:rsidP="002726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27264F" w:rsidRPr="005E5880" w:rsidRDefault="0027264F" w:rsidP="002726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E5880">
        <w:rPr>
          <w:b/>
          <w:sz w:val="26"/>
          <w:szCs w:val="26"/>
        </w:rPr>
        <w:t>Решили:</w:t>
      </w:r>
    </w:p>
    <w:p w:rsidR="0027264F" w:rsidRPr="00F72698" w:rsidRDefault="0027264F" w:rsidP="0027264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72698">
        <w:rPr>
          <w:sz w:val="26"/>
          <w:szCs w:val="26"/>
        </w:rPr>
        <w:t xml:space="preserve">5.1. </w:t>
      </w:r>
      <w:r w:rsidR="00F72698">
        <w:rPr>
          <w:sz w:val="26"/>
          <w:szCs w:val="26"/>
        </w:rPr>
        <w:t xml:space="preserve"> Прекратить членство в СРО ААС </w:t>
      </w:r>
      <w:bookmarkStart w:id="3" w:name="_GoBack"/>
      <w:bookmarkEnd w:id="3"/>
      <w:r w:rsidRPr="00F72698">
        <w:rPr>
          <w:sz w:val="26"/>
          <w:szCs w:val="26"/>
        </w:rPr>
        <w:t>на основании поданного заяв</w:t>
      </w:r>
      <w:r w:rsidR="00F72698" w:rsidRPr="00F72698">
        <w:rPr>
          <w:sz w:val="26"/>
          <w:szCs w:val="26"/>
        </w:rPr>
        <w:t>ления 3 аудиторских организаций;</w:t>
      </w:r>
    </w:p>
    <w:p w:rsidR="0027264F" w:rsidRPr="00F72698" w:rsidRDefault="0027264F" w:rsidP="0027264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72698">
        <w:rPr>
          <w:sz w:val="26"/>
          <w:szCs w:val="26"/>
        </w:rPr>
        <w:t xml:space="preserve">5.2. Прекратить членство в СРО ААС на основании </w:t>
      </w:r>
      <w:r w:rsidR="00F72698" w:rsidRPr="00F72698">
        <w:rPr>
          <w:sz w:val="26"/>
          <w:szCs w:val="26"/>
        </w:rPr>
        <w:t>поданного заявления 2 аудиторов.</w:t>
      </w:r>
    </w:p>
    <w:p w:rsidR="0027264F" w:rsidRPr="005E5880" w:rsidRDefault="0027264F" w:rsidP="002726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E5880">
        <w:rPr>
          <w:b/>
          <w:sz w:val="26"/>
          <w:szCs w:val="26"/>
        </w:rPr>
        <w:t>Решение принято единогласно</w:t>
      </w:r>
    </w:p>
    <w:p w:rsidR="0027264F" w:rsidRPr="005E5880" w:rsidRDefault="0027264F" w:rsidP="0027264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27264F" w:rsidRPr="005E5880" w:rsidRDefault="0027264F" w:rsidP="0027264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E5880">
        <w:rPr>
          <w:b/>
          <w:i/>
          <w:sz w:val="26"/>
          <w:szCs w:val="26"/>
          <w:u w:val="single"/>
        </w:rPr>
        <w:t>По шестому вопросу</w:t>
      </w:r>
    </w:p>
    <w:p w:rsidR="0027264F" w:rsidRPr="005E5880" w:rsidRDefault="0027264F" w:rsidP="0027264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5E5880">
        <w:rPr>
          <w:b/>
          <w:sz w:val="26"/>
          <w:szCs w:val="26"/>
        </w:rPr>
        <w:t>О внесении образовательных организаций в Реестр УМЦ СРО ААС</w:t>
      </w:r>
    </w:p>
    <w:p w:rsidR="0027264F" w:rsidRPr="005E5880" w:rsidRDefault="0027264F" w:rsidP="0027264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27264F" w:rsidRPr="005E5880" w:rsidRDefault="0027264F" w:rsidP="002726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E5880">
        <w:rPr>
          <w:b/>
          <w:sz w:val="26"/>
          <w:szCs w:val="26"/>
        </w:rPr>
        <w:t>Решили:</w:t>
      </w:r>
    </w:p>
    <w:p w:rsidR="0027264F" w:rsidRPr="005E5880" w:rsidRDefault="0027264F" w:rsidP="0027264F">
      <w:pPr>
        <w:tabs>
          <w:tab w:val="left" w:pos="432"/>
          <w:tab w:val="left" w:pos="709"/>
        </w:tabs>
        <w:jc w:val="both"/>
        <w:rPr>
          <w:rFonts w:eastAsiaTheme="minorHAnsi"/>
          <w:b/>
          <w:sz w:val="26"/>
          <w:szCs w:val="26"/>
          <w:lang w:eastAsia="en-US"/>
        </w:rPr>
      </w:pPr>
      <w:r w:rsidRPr="005E5880">
        <w:rPr>
          <w:rFonts w:eastAsiaTheme="minorHAnsi"/>
          <w:b/>
          <w:sz w:val="26"/>
          <w:szCs w:val="26"/>
          <w:lang w:eastAsia="en-US"/>
        </w:rPr>
        <w:t>6.1. Внести в Реестр учебно-методических центров СРО ААС в соответствии с заключением Комитета по профессиональному образованию СРО ААС (протокол № 105 от 20.07.2017 г.) 1 (Одну) образовательную организацию:</w:t>
      </w:r>
    </w:p>
    <w:tbl>
      <w:tblPr>
        <w:tblStyle w:val="TableNormal"/>
        <w:tblW w:w="10064" w:type="dxa"/>
        <w:tblInd w:w="-9" w:type="dxa"/>
        <w:tblLayout w:type="fixed"/>
        <w:tblLook w:val="01E0" w:firstRow="1" w:lastRow="1" w:firstColumn="1" w:lastColumn="1" w:noHBand="0" w:noVBand="0"/>
      </w:tblPr>
      <w:tblGrid>
        <w:gridCol w:w="576"/>
        <w:gridCol w:w="983"/>
        <w:gridCol w:w="4111"/>
        <w:gridCol w:w="1559"/>
        <w:gridCol w:w="2835"/>
      </w:tblGrid>
      <w:tr w:rsidR="0027264F" w:rsidRPr="0027264F" w:rsidTr="0027264F">
        <w:trPr>
          <w:trHeight w:hRule="exact" w:val="1138"/>
        </w:trPr>
        <w:tc>
          <w:tcPr>
            <w:tcW w:w="5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7264F" w:rsidRPr="0027264F" w:rsidRDefault="0027264F" w:rsidP="0089678F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7264F" w:rsidRPr="0027264F" w:rsidRDefault="0027264F" w:rsidP="0089678F">
            <w:pPr>
              <w:pStyle w:val="TableParagraph"/>
              <w:ind w:left="-283" w:firstLine="283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27264F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7264F" w:rsidRPr="0027264F" w:rsidRDefault="0027264F" w:rsidP="0089678F">
            <w:pPr>
              <w:tabs>
                <w:tab w:val="left" w:pos="432"/>
                <w:tab w:val="left" w:pos="709"/>
              </w:tabs>
              <w:ind w:left="141"/>
              <w:rPr>
                <w:rFonts w:ascii="Times New Roman" w:hAnsi="Times New Roman" w:cs="Times New Roman"/>
                <w:lang w:val="ru-RU"/>
              </w:rPr>
            </w:pPr>
            <w:r w:rsidRPr="0027264F">
              <w:rPr>
                <w:rFonts w:ascii="Times New Roman" w:hAnsi="Times New Roman" w:cs="Times New Roman"/>
                <w:lang w:val="ru-RU"/>
              </w:rPr>
              <w:t xml:space="preserve">ФГБОУ ВО «Воронежский государственный университет», </w:t>
            </w:r>
          </w:p>
          <w:p w:rsidR="0027264F" w:rsidRPr="0027264F" w:rsidRDefault="0027264F" w:rsidP="0089678F">
            <w:pPr>
              <w:tabs>
                <w:tab w:val="left" w:pos="432"/>
                <w:tab w:val="left" w:pos="709"/>
              </w:tabs>
              <w:ind w:left="141"/>
              <w:rPr>
                <w:rFonts w:ascii="Times New Roman" w:hAnsi="Times New Roman" w:cs="Times New Roman"/>
                <w:lang w:val="ru-RU"/>
              </w:rPr>
            </w:pPr>
            <w:r w:rsidRPr="0027264F">
              <w:rPr>
                <w:rFonts w:ascii="Times New Roman" w:hAnsi="Times New Roman" w:cs="Times New Roman"/>
                <w:lang w:val="ru-RU"/>
              </w:rPr>
              <w:t>ОГРН 1023601560510.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7264F" w:rsidRPr="0027264F" w:rsidRDefault="0027264F" w:rsidP="008967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 СРО ААС</w:t>
            </w:r>
          </w:p>
          <w:p w:rsidR="0027264F" w:rsidRPr="0027264F" w:rsidRDefault="0027264F" w:rsidP="008967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2010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7264F" w:rsidRPr="0027264F" w:rsidRDefault="0027264F" w:rsidP="0089678F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64F" w:rsidRPr="0027264F" w:rsidRDefault="0027264F" w:rsidP="0089678F">
            <w:pPr>
              <w:pStyle w:val="TableParagraph"/>
              <w:ind w:left="27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272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394006</w:t>
            </w:r>
            <w:r w:rsidRPr="002726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27264F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2726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</w:t>
            </w:r>
            <w:r w:rsidRPr="0027264F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27264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Воронеж,</w:t>
            </w:r>
          </w:p>
          <w:p w:rsidR="0027264F" w:rsidRPr="0027264F" w:rsidRDefault="0027264F" w:rsidP="008967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</w:t>
            </w:r>
            <w:r w:rsidRPr="0027264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264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Хользунова,</w:t>
            </w:r>
            <w:r w:rsidRPr="0027264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264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д.48,</w:t>
            </w:r>
            <w:r w:rsidRPr="0027264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2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</w:t>
            </w:r>
            <w:r w:rsidRPr="0027264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2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27264F" w:rsidRPr="0027264F" w:rsidRDefault="0027264F" w:rsidP="0089678F">
            <w:pPr>
              <w:pStyle w:val="TableParagraph"/>
              <w:ind w:left="-283" w:firstLine="283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7264F" w:rsidRPr="005E5880" w:rsidRDefault="0027264F" w:rsidP="002726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E5880">
        <w:rPr>
          <w:b/>
          <w:sz w:val="26"/>
          <w:szCs w:val="26"/>
        </w:rPr>
        <w:t>Решение принято единогласно</w:t>
      </w:r>
    </w:p>
    <w:p w:rsidR="0027264F" w:rsidRPr="005E5880" w:rsidRDefault="0027264F" w:rsidP="0027264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27264F" w:rsidRPr="005E5880" w:rsidRDefault="0027264F" w:rsidP="0027264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E5880">
        <w:rPr>
          <w:b/>
          <w:i/>
          <w:sz w:val="26"/>
          <w:szCs w:val="26"/>
          <w:u w:val="single"/>
        </w:rPr>
        <w:t>По седьмому вопросу</w:t>
      </w:r>
    </w:p>
    <w:p w:rsidR="0027264F" w:rsidRPr="005E5880" w:rsidRDefault="0027264F" w:rsidP="002726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E5880">
        <w:rPr>
          <w:b/>
          <w:sz w:val="26"/>
          <w:szCs w:val="26"/>
        </w:rPr>
        <w:t>Об утверждении программы ПК аудиторов</w:t>
      </w:r>
    </w:p>
    <w:p w:rsidR="0027264F" w:rsidRPr="005E5880" w:rsidRDefault="0027264F" w:rsidP="0027264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27264F" w:rsidRPr="005E5880" w:rsidRDefault="0027264F" w:rsidP="002726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E5880">
        <w:rPr>
          <w:b/>
          <w:sz w:val="26"/>
          <w:szCs w:val="26"/>
        </w:rPr>
        <w:t>Решили:</w:t>
      </w:r>
    </w:p>
    <w:p w:rsidR="0027264F" w:rsidRPr="005E5880" w:rsidRDefault="0027264F" w:rsidP="002726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E5880">
        <w:rPr>
          <w:b/>
          <w:sz w:val="26"/>
          <w:szCs w:val="26"/>
        </w:rPr>
        <w:t>7.1. Утвердить две программы повышения квалификации аудиторов:</w:t>
      </w:r>
    </w:p>
    <w:p w:rsidR="0027264F" w:rsidRPr="005E5880" w:rsidRDefault="0027264F" w:rsidP="0027264F">
      <w:pPr>
        <w:pStyle w:val="ad"/>
        <w:numPr>
          <w:ilvl w:val="0"/>
          <w:numId w:val="12"/>
        </w:numPr>
        <w:tabs>
          <w:tab w:val="left" w:pos="709"/>
        </w:tabs>
        <w:jc w:val="both"/>
        <w:rPr>
          <w:sz w:val="26"/>
          <w:szCs w:val="26"/>
        </w:rPr>
      </w:pPr>
      <w:r w:rsidRPr="005E5880">
        <w:rPr>
          <w:sz w:val="26"/>
          <w:szCs w:val="26"/>
        </w:rPr>
        <w:t>№ 6-1-14 «Новации в бухгалтерском учете и составлении отчетности, налогообложении и аудиторской деятельности» - 20 ак. час.</w:t>
      </w:r>
    </w:p>
    <w:p w:rsidR="0027264F" w:rsidRPr="005E5880" w:rsidRDefault="0027264F" w:rsidP="0027264F">
      <w:pPr>
        <w:pStyle w:val="ad"/>
        <w:numPr>
          <w:ilvl w:val="0"/>
          <w:numId w:val="12"/>
        </w:numPr>
        <w:tabs>
          <w:tab w:val="left" w:pos="709"/>
        </w:tabs>
        <w:jc w:val="both"/>
        <w:rPr>
          <w:sz w:val="26"/>
          <w:szCs w:val="26"/>
        </w:rPr>
      </w:pPr>
      <w:r w:rsidRPr="005E5880">
        <w:rPr>
          <w:sz w:val="26"/>
          <w:szCs w:val="26"/>
        </w:rPr>
        <w:lastRenderedPageBreak/>
        <w:t>№ 6-1-15 «Теория и практика проведения обзорной проверки» - 8 ак. час.</w:t>
      </w:r>
    </w:p>
    <w:p w:rsidR="0027264F" w:rsidRPr="005E5880" w:rsidRDefault="0027264F" w:rsidP="002726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E5880">
        <w:rPr>
          <w:b/>
          <w:sz w:val="26"/>
          <w:szCs w:val="26"/>
        </w:rPr>
        <w:t>Решение принято единогласно</w:t>
      </w:r>
    </w:p>
    <w:p w:rsidR="0027264F" w:rsidRPr="005E5880" w:rsidRDefault="0027264F" w:rsidP="0027264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27264F" w:rsidRPr="005E5880" w:rsidRDefault="0027264F" w:rsidP="0027264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E5880">
        <w:rPr>
          <w:b/>
          <w:i/>
          <w:sz w:val="26"/>
          <w:szCs w:val="26"/>
          <w:u w:val="single"/>
        </w:rPr>
        <w:t>По восьмому вопросу</w:t>
      </w:r>
    </w:p>
    <w:p w:rsidR="0027264F" w:rsidRPr="005E5880" w:rsidRDefault="0027264F" w:rsidP="0027264F">
      <w:pPr>
        <w:tabs>
          <w:tab w:val="left" w:pos="2880"/>
        </w:tabs>
        <w:ind w:right="-108"/>
        <w:jc w:val="both"/>
        <w:rPr>
          <w:b/>
          <w:sz w:val="26"/>
          <w:szCs w:val="26"/>
        </w:rPr>
      </w:pPr>
      <w:r w:rsidRPr="005E5880">
        <w:rPr>
          <w:b/>
          <w:sz w:val="26"/>
          <w:szCs w:val="26"/>
        </w:rPr>
        <w:t xml:space="preserve">О дополнении в перечень программ повышения квалификации аудиторов </w:t>
      </w:r>
    </w:p>
    <w:p w:rsidR="0027264F" w:rsidRPr="005E5880" w:rsidRDefault="0027264F" w:rsidP="002726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27264F" w:rsidRPr="005E5880" w:rsidRDefault="0027264F" w:rsidP="002726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E5880">
        <w:rPr>
          <w:b/>
          <w:sz w:val="26"/>
          <w:szCs w:val="26"/>
        </w:rPr>
        <w:t>Решили:</w:t>
      </w:r>
    </w:p>
    <w:p w:rsidR="0027264F" w:rsidRPr="005E5880" w:rsidRDefault="0027264F" w:rsidP="0027264F">
      <w:pPr>
        <w:jc w:val="both"/>
        <w:rPr>
          <w:b/>
          <w:sz w:val="26"/>
          <w:szCs w:val="26"/>
        </w:rPr>
      </w:pPr>
      <w:r w:rsidRPr="005E5880">
        <w:rPr>
          <w:b/>
          <w:sz w:val="26"/>
          <w:szCs w:val="26"/>
        </w:rPr>
        <w:t xml:space="preserve">8.1. В дополнение к принятым ранее программам ПК аудиторов, относящимся к приоритетной тематике, определенной решением САД от 22.09.2016 (протокол № 26), обучение по которым в 2017 году засчитывается в счет соблюдения аудиторами – членами СРО ААС требования о прохождении ОППК, предусмотренного ч. 9 ст. 11 ФЗ-307, утвердить две программы:  </w:t>
      </w:r>
    </w:p>
    <w:tbl>
      <w:tblPr>
        <w:tblW w:w="1006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9"/>
        <w:gridCol w:w="1302"/>
        <w:gridCol w:w="5502"/>
        <w:gridCol w:w="992"/>
        <w:gridCol w:w="1560"/>
      </w:tblGrid>
      <w:tr w:rsidR="0027264F" w:rsidRPr="0027264F" w:rsidTr="0027264F">
        <w:trPr>
          <w:trHeight w:val="1105"/>
        </w:trPr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4F" w:rsidRPr="0027264F" w:rsidRDefault="0027264F" w:rsidP="0089678F">
            <w:pPr>
              <w:jc w:val="center"/>
            </w:pPr>
            <w:r w:rsidRPr="0027264F">
              <w:rPr>
                <w:b/>
                <w:bCs/>
              </w:rPr>
              <w:t>№ </w:t>
            </w:r>
            <w:r w:rsidRPr="0027264F">
              <w:rPr>
                <w:b/>
                <w:bCs/>
              </w:rPr>
              <w:br/>
              <w:t>п/п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4F" w:rsidRPr="0027264F" w:rsidRDefault="0027264F" w:rsidP="00896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64F">
              <w:rPr>
                <w:b/>
                <w:bCs/>
              </w:rPr>
              <w:t>Номер</w:t>
            </w: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4F" w:rsidRPr="0027264F" w:rsidRDefault="0027264F" w:rsidP="00896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64F">
              <w:rPr>
                <w:b/>
                <w:bCs/>
              </w:rPr>
              <w:t>Наименование программы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4F" w:rsidRPr="0027264F" w:rsidRDefault="0027264F" w:rsidP="00896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64F">
              <w:rPr>
                <w:b/>
                <w:bCs/>
              </w:rPr>
              <w:t>Кол-во</w:t>
            </w:r>
            <w:r w:rsidRPr="0027264F">
              <w:rPr>
                <w:b/>
                <w:bCs/>
              </w:rPr>
              <w:br/>
              <w:t xml:space="preserve"> часов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64F" w:rsidRPr="0027264F" w:rsidRDefault="0027264F" w:rsidP="00896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64F">
              <w:rPr>
                <w:b/>
                <w:bCs/>
              </w:rPr>
              <w:t>Дата утверждения ПК решением Правления</w:t>
            </w:r>
          </w:p>
          <w:p w:rsidR="0027264F" w:rsidRPr="0027264F" w:rsidRDefault="0027264F" w:rsidP="00896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64F">
              <w:rPr>
                <w:b/>
                <w:bCs/>
              </w:rPr>
              <w:t>СРО ААС</w:t>
            </w:r>
          </w:p>
        </w:tc>
      </w:tr>
      <w:tr w:rsidR="0027264F" w:rsidRPr="0027264F" w:rsidTr="0027264F">
        <w:trPr>
          <w:trHeight w:val="912"/>
        </w:trPr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4F" w:rsidRPr="0027264F" w:rsidRDefault="0027264F" w:rsidP="0089678F">
            <w:pPr>
              <w:jc w:val="center"/>
            </w:pPr>
          </w:p>
          <w:p w:rsidR="0027264F" w:rsidRPr="0027264F" w:rsidRDefault="0027264F" w:rsidP="0089678F">
            <w:pPr>
              <w:jc w:val="center"/>
            </w:pPr>
            <w:r w:rsidRPr="0027264F">
              <w:t>1.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4F" w:rsidRPr="0027264F" w:rsidRDefault="0027264F" w:rsidP="0089678F">
            <w:pPr>
              <w:jc w:val="center"/>
            </w:pPr>
          </w:p>
          <w:p w:rsidR="0027264F" w:rsidRPr="0027264F" w:rsidRDefault="0027264F" w:rsidP="0089678F">
            <w:pPr>
              <w:jc w:val="center"/>
            </w:pPr>
            <w:r w:rsidRPr="0027264F">
              <w:t>6-1-14</w:t>
            </w: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4F" w:rsidRPr="0027264F" w:rsidRDefault="0027264F" w:rsidP="0089678F">
            <w:pPr>
              <w:ind w:left="197"/>
            </w:pPr>
            <w:r w:rsidRPr="0027264F">
              <w:t>Новации в бухгалтерском учете и составлении отчетности, налогообложении и аудиторской деятельности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4F" w:rsidRPr="0027264F" w:rsidRDefault="0027264F" w:rsidP="0089678F">
            <w:pPr>
              <w:jc w:val="center"/>
            </w:pPr>
          </w:p>
          <w:p w:rsidR="0027264F" w:rsidRPr="0027264F" w:rsidRDefault="0027264F" w:rsidP="0089678F">
            <w:pPr>
              <w:jc w:val="center"/>
            </w:pPr>
            <w:r w:rsidRPr="0027264F">
              <w:t>20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4F" w:rsidRPr="0027264F" w:rsidRDefault="0027264F" w:rsidP="0089678F">
            <w:pPr>
              <w:jc w:val="center"/>
            </w:pPr>
          </w:p>
          <w:p w:rsidR="0027264F" w:rsidRPr="0027264F" w:rsidRDefault="0027264F" w:rsidP="0089678F">
            <w:pPr>
              <w:jc w:val="center"/>
            </w:pPr>
            <w:r w:rsidRPr="0027264F">
              <w:t>Протокол 327</w:t>
            </w:r>
          </w:p>
          <w:p w:rsidR="0027264F" w:rsidRPr="0027264F" w:rsidRDefault="0027264F" w:rsidP="0089678F">
            <w:pPr>
              <w:jc w:val="center"/>
            </w:pPr>
            <w:r w:rsidRPr="0027264F">
              <w:t>от 29.08.2017</w:t>
            </w:r>
          </w:p>
        </w:tc>
      </w:tr>
      <w:tr w:rsidR="0027264F" w:rsidRPr="0027264F" w:rsidTr="0027264F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4F" w:rsidRPr="0027264F" w:rsidRDefault="0027264F" w:rsidP="0089678F">
            <w:pPr>
              <w:jc w:val="center"/>
            </w:pPr>
            <w:r w:rsidRPr="0027264F">
              <w:t>2.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4F" w:rsidRPr="0027264F" w:rsidRDefault="0027264F" w:rsidP="0089678F">
            <w:pPr>
              <w:jc w:val="center"/>
            </w:pPr>
            <w:r w:rsidRPr="0027264F">
              <w:t>6-1-15</w:t>
            </w: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4F" w:rsidRPr="0027264F" w:rsidRDefault="0027264F" w:rsidP="0089678F">
            <w:pPr>
              <w:ind w:left="197"/>
            </w:pPr>
            <w:r w:rsidRPr="0027264F">
              <w:t xml:space="preserve">Теория и практика проведения обзорной проверки </w:t>
            </w:r>
          </w:p>
          <w:p w:rsidR="0027264F" w:rsidRPr="0027264F" w:rsidRDefault="0027264F" w:rsidP="0089678F"/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4F" w:rsidRPr="0027264F" w:rsidRDefault="0027264F" w:rsidP="0089678F">
            <w:pPr>
              <w:jc w:val="center"/>
            </w:pPr>
            <w:r w:rsidRPr="0027264F">
              <w:t>8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4F" w:rsidRPr="0027264F" w:rsidRDefault="0027264F" w:rsidP="0089678F">
            <w:pPr>
              <w:jc w:val="center"/>
            </w:pPr>
            <w:r w:rsidRPr="0027264F">
              <w:t>Протокол 327</w:t>
            </w:r>
          </w:p>
          <w:p w:rsidR="0027264F" w:rsidRPr="0027264F" w:rsidRDefault="0027264F" w:rsidP="0089678F">
            <w:pPr>
              <w:jc w:val="center"/>
            </w:pPr>
            <w:r w:rsidRPr="0027264F">
              <w:t>от 29.08.2017</w:t>
            </w:r>
          </w:p>
        </w:tc>
      </w:tr>
    </w:tbl>
    <w:p w:rsidR="0027264F" w:rsidRPr="005E5880" w:rsidRDefault="0027264F" w:rsidP="002726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E5880">
        <w:rPr>
          <w:b/>
          <w:sz w:val="26"/>
          <w:szCs w:val="26"/>
        </w:rPr>
        <w:t>Решение принято единогласно</w:t>
      </w:r>
    </w:p>
    <w:p w:rsidR="00AB4CE4" w:rsidRPr="00FC172B" w:rsidRDefault="00AB4CE4" w:rsidP="00FC172B">
      <w:pPr>
        <w:ind w:right="-1"/>
        <w:jc w:val="both"/>
        <w:rPr>
          <w:sz w:val="26"/>
          <w:szCs w:val="26"/>
        </w:rPr>
      </w:pPr>
    </w:p>
    <w:p w:rsidR="00697532" w:rsidRPr="00FC172B" w:rsidRDefault="00313EE8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</w:t>
      </w:r>
      <w:r w:rsidR="00E449F1" w:rsidRPr="00FC172B">
        <w:rPr>
          <w:sz w:val="26"/>
          <w:szCs w:val="26"/>
        </w:rPr>
        <w:t xml:space="preserve"> Н</w:t>
      </w:r>
      <w:r w:rsidRPr="00FC172B">
        <w:rPr>
          <w:sz w:val="26"/>
          <w:szCs w:val="26"/>
        </w:rPr>
        <w:t>осовой О.А.</w:t>
      </w:r>
    </w:p>
    <w:p w:rsidR="003A256F" w:rsidRPr="00FC172B" w:rsidRDefault="003A256F" w:rsidP="00FC172B">
      <w:pPr>
        <w:ind w:right="-1"/>
        <w:jc w:val="both"/>
        <w:rPr>
          <w:sz w:val="26"/>
          <w:szCs w:val="26"/>
        </w:rPr>
      </w:pPr>
    </w:p>
    <w:p w:rsidR="000A3FEE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>Подписи:</w:t>
      </w:r>
    </w:p>
    <w:p w:rsidR="00AB4CE4" w:rsidRPr="00FC172B" w:rsidRDefault="00AB4CE4" w:rsidP="00FC172B">
      <w:pPr>
        <w:ind w:right="-1"/>
        <w:jc w:val="both"/>
        <w:rPr>
          <w:sz w:val="26"/>
          <w:szCs w:val="26"/>
        </w:rPr>
      </w:pPr>
    </w:p>
    <w:p w:rsidR="00AB4CE4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Председатель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</w:t>
      </w:r>
      <w:r w:rsidR="008A76A2" w:rsidRPr="00FC172B">
        <w:rPr>
          <w:sz w:val="26"/>
          <w:szCs w:val="26"/>
        </w:rPr>
        <w:t>_</w:t>
      </w:r>
      <w:r w:rsidR="00AB4CE4" w:rsidRPr="00FC172B">
        <w:rPr>
          <w:sz w:val="26"/>
          <w:szCs w:val="26"/>
        </w:rPr>
        <w:t>_____</w:t>
      </w:r>
      <w:r w:rsidR="008A76A2" w:rsidRPr="00FC172B">
        <w:rPr>
          <w:sz w:val="26"/>
          <w:szCs w:val="26"/>
        </w:rPr>
        <w:t>________________</w:t>
      </w:r>
      <w:r w:rsidRPr="00FC172B">
        <w:rPr>
          <w:sz w:val="26"/>
          <w:szCs w:val="26"/>
        </w:rPr>
        <w:t xml:space="preserve"> </w:t>
      </w:r>
      <w:r w:rsidR="00BD1CE3" w:rsidRPr="00FC172B">
        <w:rPr>
          <w:sz w:val="26"/>
          <w:szCs w:val="26"/>
        </w:rPr>
        <w:t>А.Д. Шеремет</w:t>
      </w:r>
    </w:p>
    <w:p w:rsidR="00BA0AA9" w:rsidRPr="00FC172B" w:rsidRDefault="00BA0AA9" w:rsidP="00FC172B">
      <w:pPr>
        <w:ind w:right="-1"/>
        <w:jc w:val="both"/>
        <w:rPr>
          <w:sz w:val="26"/>
          <w:szCs w:val="26"/>
        </w:rPr>
      </w:pPr>
    </w:p>
    <w:p w:rsidR="00C61FD1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Секретарь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     ______________________ О.А. Носова</w:t>
      </w:r>
    </w:p>
    <w:sectPr w:rsidR="00C61FD1" w:rsidRPr="00FC172B" w:rsidSect="00CC7A77">
      <w:footerReference w:type="even" r:id="rId10"/>
      <w:footerReference w:type="default" r:id="rId11"/>
      <w:pgSz w:w="11906" w:h="16838"/>
      <w:pgMar w:top="426" w:right="424" w:bottom="851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7D8" w:rsidRDefault="00C357D8">
      <w:r>
        <w:separator/>
      </w:r>
    </w:p>
  </w:endnote>
  <w:endnote w:type="continuationSeparator" w:id="0">
    <w:p w:rsidR="00C357D8" w:rsidRDefault="00C3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7D8" w:rsidRDefault="00C357D8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C357D8" w:rsidRDefault="00C357D8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7D8" w:rsidRPr="0027264F" w:rsidRDefault="00C357D8" w:rsidP="00E93A89">
    <w:pPr>
      <w:pStyle w:val="aa"/>
      <w:tabs>
        <w:tab w:val="clear" w:pos="9355"/>
        <w:tab w:val="right" w:pos="10206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</w:t>
    </w:r>
    <w:r w:rsidR="00BC2268">
      <w:rPr>
        <w:i/>
        <w:lang w:val="ru-RU"/>
      </w:rPr>
      <w:t>___</w:t>
    </w:r>
    <w:r>
      <w:rPr>
        <w:i/>
        <w:lang w:val="ru-RU"/>
      </w:rPr>
      <w:t>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 w:rsidR="00996F69">
      <w:rPr>
        <w:i/>
        <w:lang w:val="ru-RU"/>
      </w:rPr>
      <w:t>32</w:t>
    </w:r>
    <w:r w:rsidR="0027264F">
      <w:rPr>
        <w:i/>
        <w:lang w:val="ru-RU"/>
      </w:rPr>
      <w:t>7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27264F">
      <w:rPr>
        <w:i/>
        <w:lang w:val="ru-RU"/>
      </w:rPr>
      <w:t>29</w:t>
    </w:r>
    <w:r>
      <w:rPr>
        <w:i/>
        <w:lang w:val="ru-RU"/>
      </w:rPr>
      <w:t xml:space="preserve"> </w:t>
    </w:r>
    <w:r w:rsidR="00996F69">
      <w:rPr>
        <w:i/>
        <w:lang w:val="ru-RU"/>
      </w:rPr>
      <w:t>августа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 w:rsidR="00996F69">
      <w:rPr>
        <w:i/>
        <w:lang w:val="ru-RU"/>
      </w:rPr>
      <w:t xml:space="preserve">    </w:t>
    </w:r>
    <w:r w:rsidRPr="00E93A89">
      <w:rPr>
        <w:i/>
      </w:rPr>
      <w:t xml:space="preserve"> </w:t>
    </w:r>
    <w:r w:rsidR="00BC2268">
      <w:rPr>
        <w:i/>
        <w:lang w:val="ru-RU"/>
      </w:rPr>
      <w:t xml:space="preserve">      </w:t>
    </w:r>
    <w:r w:rsidRPr="00E93A89">
      <w:rPr>
        <w:i/>
      </w:rPr>
      <w:t xml:space="preserve">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F72698">
      <w:rPr>
        <w:i/>
        <w:noProof/>
      </w:rPr>
      <w:t>3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 w:rsidR="0027264F">
      <w:rPr>
        <w:i/>
        <w:lang w:val="ru-RU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7D8" w:rsidRDefault="00C357D8">
      <w:r>
        <w:separator/>
      </w:r>
    </w:p>
  </w:footnote>
  <w:footnote w:type="continuationSeparator" w:id="0">
    <w:p w:rsidR="00C357D8" w:rsidRDefault="00C35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BC736F"/>
    <w:multiLevelType w:val="hybridMultilevel"/>
    <w:tmpl w:val="6A54923C"/>
    <w:lvl w:ilvl="0" w:tplc="E6002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F7579"/>
    <w:multiLevelType w:val="hybridMultilevel"/>
    <w:tmpl w:val="D6AAEDBC"/>
    <w:lvl w:ilvl="0" w:tplc="90664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91AE2"/>
    <w:multiLevelType w:val="hybridMultilevel"/>
    <w:tmpl w:val="20D61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A2468"/>
    <w:multiLevelType w:val="hybridMultilevel"/>
    <w:tmpl w:val="1D7227FE"/>
    <w:lvl w:ilvl="0" w:tplc="C0540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90A85"/>
    <w:multiLevelType w:val="hybridMultilevel"/>
    <w:tmpl w:val="B404A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D639A"/>
    <w:multiLevelType w:val="hybridMultilevel"/>
    <w:tmpl w:val="A7D8B96C"/>
    <w:lvl w:ilvl="0" w:tplc="E7E62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27084"/>
    <w:multiLevelType w:val="hybridMultilevel"/>
    <w:tmpl w:val="D5FE23DA"/>
    <w:lvl w:ilvl="0" w:tplc="5BB21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A4718"/>
    <w:multiLevelType w:val="hybridMultilevel"/>
    <w:tmpl w:val="72FC8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E5B2A"/>
    <w:multiLevelType w:val="hybridMultilevel"/>
    <w:tmpl w:val="2B2E02D4"/>
    <w:lvl w:ilvl="0" w:tplc="90664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87F98"/>
    <w:multiLevelType w:val="hybridMultilevel"/>
    <w:tmpl w:val="870C6132"/>
    <w:lvl w:ilvl="0" w:tplc="90664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A276A"/>
    <w:multiLevelType w:val="hybridMultilevel"/>
    <w:tmpl w:val="B2DC4C56"/>
    <w:lvl w:ilvl="0" w:tplc="E6002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13"/>
  </w:num>
  <w:num w:numId="7">
    <w:abstractNumId w:val="3"/>
  </w:num>
  <w:num w:numId="8">
    <w:abstractNumId w:val="9"/>
  </w:num>
  <w:num w:numId="9">
    <w:abstractNumId w:val="6"/>
  </w:num>
  <w:num w:numId="10">
    <w:abstractNumId w:val="11"/>
  </w:num>
  <w:num w:numId="11">
    <w:abstractNumId w:val="4"/>
  </w:num>
  <w:num w:numId="1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078D6"/>
    <w:rsid w:val="00112A1E"/>
    <w:rsid w:val="00112DB3"/>
    <w:rsid w:val="00114654"/>
    <w:rsid w:val="00115F98"/>
    <w:rsid w:val="0012017E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2B77"/>
    <w:rsid w:val="0016411C"/>
    <w:rsid w:val="00164DA5"/>
    <w:rsid w:val="00165716"/>
    <w:rsid w:val="00166A4A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087"/>
    <w:rsid w:val="0025325F"/>
    <w:rsid w:val="00253408"/>
    <w:rsid w:val="00255809"/>
    <w:rsid w:val="0027264F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5438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611A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2FE3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2043"/>
    <w:rsid w:val="00564F20"/>
    <w:rsid w:val="005654C7"/>
    <w:rsid w:val="005668E1"/>
    <w:rsid w:val="00570103"/>
    <w:rsid w:val="00570323"/>
    <w:rsid w:val="005731CE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530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A7A50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1D33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5DEC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96F69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2FA9"/>
    <w:rsid w:val="009C57D4"/>
    <w:rsid w:val="009C6C2E"/>
    <w:rsid w:val="009D1AF5"/>
    <w:rsid w:val="009D36C0"/>
    <w:rsid w:val="009D50D1"/>
    <w:rsid w:val="009D5A11"/>
    <w:rsid w:val="009E0E9F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76E4B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1168"/>
    <w:rsid w:val="00BC22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357D8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C7A77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F1E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2698"/>
    <w:rsid w:val="00F75EC7"/>
    <w:rsid w:val="00F76773"/>
    <w:rsid w:val="00F775B2"/>
    <w:rsid w:val="00F8059E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172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157D6-ADF5-4248-AC74-D20DF3CF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AB588FA5</Template>
  <TotalTime>1</TotalTime>
  <Pages>3</Pages>
  <Words>633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4664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2017-08-30T08:52:00Z</dcterms:created>
  <dcterms:modified xsi:type="dcterms:W3CDTF">2017-08-30T08:52:00Z</dcterms:modified>
</cp:coreProperties>
</file>